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Calibri" w:eastAsia="宋体" w:cs="Times New Roman"/>
          <w:color w:val="000000"/>
          <w:sz w:val="30"/>
          <w:szCs w:val="30"/>
        </w:rPr>
      </w:pPr>
      <w:bookmarkStart w:id="0" w:name="_Toc20822"/>
    </w:p>
    <w:p>
      <w:pPr>
        <w:spacing w:line="276" w:lineRule="auto"/>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pPr>
        <w:spacing w:line="276" w:lineRule="auto"/>
        <w:jc w:val="center"/>
        <w:rPr>
          <w:rFonts w:hint="default" w:ascii="Calibri" w:hAnsi="宋体" w:eastAsia="宋体" w:cs="Times New Roman"/>
          <w:b/>
          <w:bCs/>
          <w:color w:val="000000"/>
          <w:spacing w:val="-8"/>
          <w:sz w:val="48"/>
          <w:szCs w:val="44"/>
          <w:lang w:val="en-US" w:eastAsia="zh-CN"/>
        </w:rPr>
      </w:pPr>
      <w:r>
        <w:rPr>
          <w:rFonts w:hint="eastAsia" w:ascii="Calibri" w:hAnsi="宋体" w:eastAsia="宋体" w:cs="Times New Roman"/>
          <w:b/>
          <w:bCs/>
          <w:color w:val="000000"/>
          <w:spacing w:val="-8"/>
          <w:sz w:val="48"/>
          <w:szCs w:val="44"/>
          <w:lang w:val="en-US" w:eastAsia="zh-CN"/>
        </w:rPr>
        <w:t>桌面HIL台架</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招标项目</w:t>
      </w:r>
      <w:r>
        <w:rPr>
          <w:rFonts w:ascii="Calibri" w:hAnsi="Calibri" w:eastAsia="宋体" w:cs="Times New Roman"/>
          <w:b/>
          <w:bCs/>
          <w:color w:val="000000"/>
          <w:spacing w:val="-8"/>
          <w:sz w:val="48"/>
          <w:szCs w:val="44"/>
        </w:rPr>
        <w:t xml:space="preserve"> </w:t>
      </w:r>
      <w:r>
        <w:rPr>
          <w:rFonts w:hint="eastAsia" w:ascii="Calibri" w:hAnsi="宋体" w:eastAsia="宋体" w:cs="Times New Roman"/>
          <w:b/>
          <w:bCs/>
          <w:color w:val="000000"/>
          <w:spacing w:val="-8"/>
          <w:sz w:val="48"/>
          <w:szCs w:val="44"/>
        </w:rPr>
        <w:t xml:space="preserve"> </w:t>
      </w:r>
      <w:r>
        <w:rPr>
          <w:rFonts w:ascii="Calibri" w:hAnsi="Calibri" w:eastAsia="宋体" w:cs="Times New Roman"/>
          <w:b/>
          <w:bCs/>
          <w:color w:val="000000"/>
          <w:spacing w:val="-8"/>
          <w:sz w:val="48"/>
          <w:szCs w:val="44"/>
        </w:rPr>
        <w:t xml:space="preserve"> </w:t>
      </w:r>
    </w:p>
    <w:p>
      <w:pPr>
        <w:jc w:val="right"/>
        <w:rPr>
          <w:rFonts w:ascii="Calibri" w:hAnsi="Calibri" w:eastAsia="宋体" w:cs="Times New Roman"/>
          <w:color w:val="000000"/>
          <w:sz w:val="28"/>
          <w:szCs w:val="28"/>
        </w:rPr>
      </w:pPr>
    </w:p>
    <w:p>
      <w:pPr>
        <w:wordWrap w:val="0"/>
        <w:jc w:val="right"/>
        <w:rPr>
          <w:rFonts w:hint="eastAsia"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pPr>
        <w:wordWrap w:val="0"/>
        <w:jc w:val="both"/>
        <w:rPr>
          <w:rFonts w:ascii="Calibri" w:hAnsi="Calibri" w:eastAsia="宋体" w:cs="Times New Roman"/>
          <w:color w:val="000000"/>
          <w:sz w:val="28"/>
          <w:szCs w:val="28"/>
        </w:rPr>
      </w:pPr>
      <w:r>
        <w:rPr>
          <w:rFonts w:ascii="Calibri" w:hAnsi="Calibri" w:eastAsia="宋体" w:cs="Times New Roman"/>
          <w:color w:val="000000"/>
          <w:sz w:val="28"/>
          <w:szCs w:val="28"/>
        </w:rPr>
        <w:t xml:space="preserve">       </w:t>
      </w:r>
    </w:p>
    <w:p>
      <w:pPr>
        <w:jc w:val="right"/>
        <w:rPr>
          <w:rFonts w:ascii="Calibri" w:hAnsi="Calibri" w:eastAsia="宋体" w:cs="Times New Roman"/>
          <w:color w:val="000000"/>
          <w:sz w:val="28"/>
          <w:szCs w:val="28"/>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pPr>
        <w:spacing w:line="860" w:lineRule="exact"/>
        <w:rPr>
          <w:rFonts w:hint="eastAsia" w:ascii="华文仿宋" w:hAnsi="华文仿宋" w:eastAsia="华文仿宋"/>
          <w:sz w:val="32"/>
          <w:szCs w:val="28"/>
        </w:rPr>
      </w:pP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pPr>
        <w:pStyle w:val="20"/>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9</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27"/>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投标须知前附表</w:t>
          </w:r>
          <w:r>
            <w:rPr>
              <w:color w:val="auto"/>
              <w:sz w:val="32"/>
              <w:szCs w:val="32"/>
            </w:rPr>
            <w:tab/>
          </w:r>
          <w:r>
            <w:rPr>
              <w:color w:val="auto"/>
              <w:sz w:val="32"/>
              <w:szCs w:val="32"/>
            </w:rPr>
            <w:fldChar w:fldCharType="end"/>
          </w:r>
          <w:r>
            <w:rPr>
              <w:rFonts w:hint="eastAsia"/>
              <w:color w:val="auto"/>
              <w:sz w:val="32"/>
              <w:szCs w:val="32"/>
            </w:rPr>
            <w:t>3</w:t>
          </w:r>
        </w:p>
        <w:p>
          <w:pPr>
            <w:pStyle w:val="27"/>
            <w:tabs>
              <w:tab w:val="right" w:leader="dot" w:pos="9071"/>
            </w:tabs>
            <w:spacing w:line="480" w:lineRule="auto"/>
            <w:rPr>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投标须知</w:t>
          </w:r>
          <w:r>
            <w:rPr>
              <w:color w:val="auto"/>
              <w:sz w:val="32"/>
              <w:szCs w:val="32"/>
            </w:rPr>
            <w:tab/>
          </w:r>
          <w:r>
            <w:rPr>
              <w:color w:val="auto"/>
              <w:sz w:val="32"/>
              <w:szCs w:val="32"/>
            </w:rPr>
            <w:fldChar w:fldCharType="end"/>
          </w:r>
          <w:r>
            <w:rPr>
              <w:rFonts w:hint="eastAsia"/>
              <w:color w:val="auto"/>
              <w:sz w:val="32"/>
              <w:szCs w:val="32"/>
            </w:rPr>
            <w:t>7</w:t>
          </w:r>
        </w:p>
        <w:p>
          <w:pPr>
            <w:pStyle w:val="27"/>
            <w:tabs>
              <w:tab w:val="right" w:leader="dot" w:pos="9071"/>
            </w:tabs>
            <w:spacing w:line="480" w:lineRule="auto"/>
            <w:rPr>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27"/>
            <w:tabs>
              <w:tab w:val="right" w:leader="dot" w:pos="9071"/>
            </w:tabs>
            <w:spacing w:line="480" w:lineRule="auto"/>
            <w:rPr>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27"/>
            <w:tabs>
              <w:tab w:val="right" w:leader="dot" w:pos="9071"/>
            </w:tabs>
            <w:spacing w:line="480" w:lineRule="auto"/>
            <w:rPr>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40</w:t>
          </w:r>
        </w:p>
        <w:p>
          <w:pPr>
            <w:pStyle w:val="27"/>
            <w:tabs>
              <w:tab w:val="right" w:leader="dot" w:pos="9071"/>
            </w:tabs>
            <w:spacing w:line="480" w:lineRule="auto"/>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52</w:t>
          </w:r>
        </w:p>
        <w:p>
          <w:pPr>
            <w:pStyle w:val="20"/>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20"/>
        <w:numPr>
          <w:ilvl w:val="0"/>
          <w:numId w:val="6"/>
        </w:numPr>
        <w:jc w:val="center"/>
        <w:outlineLvl w:val="0"/>
        <w:rPr>
          <w:rFonts w:ascii="Calibri" w:hAnsi="Calibri" w:eastAsia="宋体" w:cs="Times New Roman"/>
          <w:b/>
          <w:bCs/>
          <w:kern w:val="44"/>
          <w:sz w:val="36"/>
          <w:szCs w:val="44"/>
        </w:rPr>
      </w:pPr>
      <w:bookmarkStart w:id="1" w:name="_Toc25915"/>
      <w:r>
        <w:rPr>
          <w:rFonts w:hint="eastAsia" w:ascii="Calibri" w:hAnsi="Calibri" w:eastAsia="宋体" w:cs="Times New Roman"/>
          <w:b/>
          <w:bCs/>
          <w:kern w:val="44"/>
          <w:sz w:val="36"/>
          <w:szCs w:val="44"/>
        </w:rPr>
        <w:t xml:space="preserve"> 投标须知前附表</w:t>
      </w:r>
      <w:bookmarkEnd w:id="1"/>
    </w:p>
    <w:p>
      <w:pPr>
        <w:pStyle w:val="20"/>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2"/>
                <w:rFonts w:hint="eastAsia" w:ascii="宋体" w:hAnsi="宋体" w:eastAsia="宋体" w:cs="宋体"/>
                <w:b/>
                <w:sz w:val="28"/>
                <w:szCs w:val="28"/>
              </w:rPr>
            </w:pPr>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hint="eastAsia" w:ascii="宋体" w:hAnsi="宋体" w:eastAsia="宋体" w:cs="宋体"/>
                <w:b/>
                <w:bCs/>
                <w:sz w:val="28"/>
                <w:szCs w:val="28"/>
              </w:rPr>
            </w:pPr>
            <w:r>
              <w:rPr>
                <w:rStyle w:val="132"/>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spacing w:line="360" w:lineRule="auto"/>
              <w:ind w:left="-27"/>
              <w:jc w:val="center"/>
              <w:rPr>
                <w:rFonts w:hint="eastAsia" w:ascii="宋体" w:hAnsi="宋体" w:eastAsia="宋体" w:cs="宋体"/>
                <w:b/>
                <w:bCs/>
                <w:sz w:val="24"/>
                <w:szCs w:val="24"/>
              </w:rPr>
            </w:pPr>
            <w:r>
              <w:rPr>
                <w:rFonts w:hint="eastAsia" w:ascii="宋体" w:hAnsi="宋体" w:eastAsia="宋体" w:cs="宋体"/>
                <w:b/>
                <w:bCs/>
                <w:sz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color w:val="000000"/>
                <w:sz w:val="24"/>
                <w:szCs w:val="24"/>
                <w:u w:val="single"/>
              </w:rPr>
              <w:t>中国重汽集团济南动力有限公司</w:t>
            </w:r>
            <w:r>
              <w:rPr>
                <w:rFonts w:hint="eastAsia" w:ascii="宋体" w:hAnsi="宋体" w:eastAsia="宋体" w:cs="宋体"/>
                <w:b/>
                <w:bCs/>
                <w:color w:val="000000"/>
                <w:sz w:val="24"/>
                <w:szCs w:val="24"/>
                <w:u w:val="single"/>
                <w:lang w:val="en-US" w:eastAsia="zh-CN"/>
              </w:rPr>
              <w:t>桌面HIL台架</w:t>
            </w:r>
            <w:r>
              <w:rPr>
                <w:rFonts w:hint="eastAsia" w:ascii="宋体" w:hAnsi="宋体" w:eastAsia="宋体" w:cs="宋体"/>
                <w:b/>
                <w:bCs/>
                <w:color w:val="000000"/>
                <w:sz w:val="24"/>
                <w:szCs w:val="24"/>
                <w:u w:val="single"/>
              </w:rPr>
              <w:t>招标项目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sz w:val="24"/>
                <w:szCs w:val="24"/>
                <w:highlight w:val="yellow"/>
                <w:u w:val="single"/>
              </w:rPr>
              <w:t>CGZX2025090129</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sz w:val="24"/>
                <w:szCs w:val="24"/>
                <w:lang w:val="en-US" w:eastAsia="zh-CN"/>
              </w:rPr>
            </w:pPr>
            <w:r>
              <w:rPr>
                <w:rFonts w:hint="eastAsia" w:ascii="宋体" w:hAnsi="宋体" w:eastAsia="宋体" w:cs="宋体"/>
                <w:b/>
                <w:bCs/>
                <w:sz w:val="24"/>
                <w:szCs w:val="24"/>
              </w:rPr>
              <w:t>招标内容：</w:t>
            </w:r>
            <w:r>
              <w:rPr>
                <w:rFonts w:hint="eastAsia" w:ascii="宋体" w:hAnsi="宋体" w:eastAsia="宋体" w:cs="宋体"/>
                <w:b/>
                <w:bCs/>
                <w:sz w:val="24"/>
                <w:szCs w:val="24"/>
                <w:highlight w:val="yellow"/>
                <w:u w:val="single"/>
                <w:lang w:val="en-US" w:eastAsia="zh-CN"/>
              </w:rPr>
              <w:t>桌面HIL台架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rPr>
              <w:t>招标形式：</w:t>
            </w:r>
            <w:r>
              <w:rPr>
                <w:rFonts w:hint="eastAsia" w:ascii="宋体" w:hAnsi="宋体" w:eastAsia="宋体" w:cs="宋体"/>
                <w:b/>
                <w:bCs/>
                <w:sz w:val="24"/>
                <w:szCs w:val="24"/>
                <w:highlight w:val="yellow"/>
                <w:u w:val="single"/>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pPr>
              <w:ind w:firstLine="482" w:firstLineChars="200"/>
              <w:rPr>
                <w:rFonts w:hint="eastAsia"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pPr>
              <w:ind w:firstLine="482" w:firstLineChars="200"/>
              <w:rPr>
                <w:rFonts w:hint="default" w:ascii="宋体" w:hAnsi="宋体" w:eastAsia="宋体" w:cs="宋体"/>
                <w:b w:val="0"/>
                <w:bCs/>
                <w:snapToGrid w:val="0"/>
                <w:kern w:val="0"/>
                <w:sz w:val="24"/>
                <w:szCs w:val="24"/>
                <w:highlight w:val="yellow"/>
                <w:lang w:val="en-US" w:eastAsia="zh-CN"/>
              </w:rPr>
            </w:pPr>
            <w:r>
              <w:rPr>
                <w:rFonts w:hint="eastAsia" w:ascii="宋体" w:hAnsi="宋体" w:eastAsia="宋体" w:cs="宋体"/>
                <w:b/>
                <w:bCs w:val="0"/>
                <w:snapToGrid w:val="0"/>
                <w:kern w:val="0"/>
                <w:sz w:val="24"/>
                <w:szCs w:val="24"/>
                <w:highlight w:val="yellow"/>
                <w:lang w:val="en-US" w:eastAsia="zh-CN"/>
              </w:rPr>
              <w:t>商务</w:t>
            </w:r>
            <w:r>
              <w:rPr>
                <w:rFonts w:hint="eastAsia" w:ascii="宋体" w:hAnsi="宋体" w:eastAsia="宋体" w:cs="宋体"/>
                <w:b/>
                <w:bCs w:val="0"/>
                <w:snapToGrid w:val="0"/>
                <w:kern w:val="0"/>
                <w:sz w:val="24"/>
                <w:szCs w:val="24"/>
                <w:highlight w:val="yellow"/>
              </w:rPr>
              <w:t>联系人</w:t>
            </w:r>
            <w:r>
              <w:rPr>
                <w:rFonts w:hint="eastAsia" w:ascii="宋体" w:hAnsi="宋体" w:eastAsia="宋体" w:cs="宋体"/>
                <w:b/>
                <w:bCs w:val="0"/>
                <w:snapToGrid w:val="0"/>
                <w:kern w:val="0"/>
                <w:sz w:val="24"/>
                <w:szCs w:val="24"/>
                <w:highlight w:val="yellow"/>
                <w:lang w:eastAsia="zh-CN"/>
              </w:rPr>
              <w:t>：</w:t>
            </w:r>
            <w:r>
              <w:rPr>
                <w:rFonts w:hint="eastAsia" w:ascii="宋体" w:hAnsi="宋体" w:eastAsia="宋体" w:cs="宋体"/>
                <w:b w:val="0"/>
                <w:bCs/>
                <w:snapToGrid w:val="0"/>
                <w:kern w:val="0"/>
                <w:sz w:val="24"/>
                <w:szCs w:val="24"/>
                <w:highlight w:val="yellow"/>
                <w:lang w:val="en-US" w:eastAsia="zh-CN"/>
              </w:rPr>
              <w:t>杨淑超</w:t>
            </w:r>
          </w:p>
          <w:p>
            <w:pPr>
              <w:pStyle w:val="20"/>
              <w:ind w:firstLine="482" w:firstLineChars="200"/>
              <w:rPr>
                <w:rFonts w:hint="default" w:eastAsia="宋体"/>
                <w:b w:val="0"/>
                <w:bCs/>
                <w:highlight w:val="yellow"/>
                <w:lang w:val="en-US" w:eastAsia="zh-CN"/>
              </w:rPr>
            </w:pPr>
            <w:r>
              <w:rPr>
                <w:rFonts w:hint="eastAsia" w:hAnsi="宋体" w:eastAsia="宋体" w:cs="宋体"/>
                <w:b/>
                <w:bCs w:val="0"/>
                <w:snapToGrid w:val="0"/>
                <w:kern w:val="0"/>
                <w:sz w:val="24"/>
                <w:szCs w:val="24"/>
                <w:highlight w:val="yellow"/>
              </w:rPr>
              <w:t>电话：</w:t>
            </w:r>
            <w:r>
              <w:rPr>
                <w:rFonts w:hint="eastAsia" w:hAnsi="宋体" w:cs="宋体"/>
                <w:b w:val="0"/>
                <w:bCs/>
                <w:snapToGrid w:val="0"/>
                <w:kern w:val="0"/>
                <w:sz w:val="24"/>
                <w:szCs w:val="24"/>
                <w:highlight w:val="yellow"/>
                <w:lang w:val="en-US" w:eastAsia="zh-CN"/>
              </w:rPr>
              <w:t>17860605820</w:t>
            </w:r>
          </w:p>
          <w:p>
            <w:pPr>
              <w:ind w:firstLine="482" w:firstLineChars="200"/>
              <w:rPr>
                <w:rFonts w:hint="eastAsia" w:ascii="宋体" w:hAnsi="宋体" w:eastAsia="宋体" w:cs="宋体"/>
                <w:b w:val="0"/>
                <w:bCs/>
                <w:snapToGrid w:val="0"/>
                <w:kern w:val="0"/>
                <w:sz w:val="24"/>
                <w:szCs w:val="24"/>
                <w:highlight w:val="yellow"/>
              </w:rPr>
            </w:pPr>
            <w:r>
              <w:rPr>
                <w:rFonts w:hint="eastAsia" w:ascii="宋体" w:hAnsi="宋体" w:eastAsia="宋体" w:cs="宋体"/>
                <w:b/>
                <w:bCs w:val="0"/>
                <w:snapToGrid w:val="0"/>
                <w:kern w:val="0"/>
                <w:sz w:val="24"/>
                <w:szCs w:val="24"/>
                <w:highlight w:val="yellow"/>
              </w:rPr>
              <w:t>邮箱：</w:t>
            </w:r>
            <w:r>
              <w:rPr>
                <w:rFonts w:hint="eastAsia" w:ascii="宋体" w:hAnsi="宋体" w:eastAsia="宋体" w:cs="宋体"/>
                <w:b w:val="0"/>
                <w:bCs/>
                <w:snapToGrid w:val="0"/>
                <w:kern w:val="0"/>
                <w:sz w:val="24"/>
                <w:szCs w:val="24"/>
                <w:highlight w:val="yellow"/>
                <w:lang w:val="en-US" w:eastAsia="zh-CN"/>
              </w:rPr>
              <w:t>yangshuchao@sinotruk.com</w:t>
            </w:r>
          </w:p>
          <w:p>
            <w:pPr>
              <w:ind w:firstLine="482" w:firstLineChars="200"/>
              <w:rPr>
                <w:rFonts w:hint="eastAsia" w:ascii="宋体" w:hAnsi="宋体" w:eastAsia="宋体" w:cs="宋体"/>
                <w:b w:val="0"/>
                <w:bCs/>
                <w:snapToGrid w:val="0"/>
                <w:kern w:val="0"/>
                <w:sz w:val="24"/>
                <w:szCs w:val="24"/>
                <w:highlight w:val="yellow"/>
                <w:lang w:eastAsia="zh-CN"/>
              </w:rPr>
            </w:pPr>
            <w:r>
              <w:rPr>
                <w:rFonts w:hint="eastAsia" w:ascii="宋体" w:hAnsi="宋体" w:eastAsia="宋体" w:cs="宋体"/>
                <w:b/>
                <w:snapToGrid w:val="0"/>
                <w:kern w:val="0"/>
                <w:sz w:val="24"/>
                <w:szCs w:val="24"/>
                <w:highlight w:val="yellow"/>
              </w:rPr>
              <w:t>技术联系人：</w:t>
            </w:r>
            <w:r>
              <w:rPr>
                <w:rFonts w:hint="eastAsia" w:ascii="宋体" w:hAnsi="宋体" w:eastAsia="宋体" w:cs="宋体"/>
                <w:b w:val="0"/>
                <w:bCs/>
                <w:snapToGrid w:val="0"/>
                <w:kern w:val="0"/>
                <w:sz w:val="24"/>
                <w:szCs w:val="24"/>
                <w:highlight w:val="yellow"/>
                <w:lang w:val="en-US" w:eastAsia="zh-CN"/>
              </w:rPr>
              <w:t>张莹</w:t>
            </w:r>
          </w:p>
          <w:p>
            <w:pPr>
              <w:ind w:firstLine="482" w:firstLineChars="200"/>
              <w:rPr>
                <w:rFonts w:hint="default" w:ascii="宋体" w:hAnsi="宋体" w:eastAsia="宋体" w:cs="宋体"/>
                <w:b w:val="0"/>
                <w:bCs/>
                <w:snapToGrid w:val="0"/>
                <w:kern w:val="0"/>
                <w:sz w:val="24"/>
                <w:szCs w:val="24"/>
                <w:highlight w:val="yellow"/>
                <w:lang w:val="en-US" w:eastAsia="zh-CN"/>
              </w:rPr>
            </w:pPr>
            <w:r>
              <w:rPr>
                <w:rFonts w:hint="eastAsia" w:ascii="宋体" w:hAnsi="宋体" w:eastAsia="宋体" w:cs="宋体"/>
                <w:b/>
                <w:snapToGrid w:val="0"/>
                <w:kern w:val="0"/>
                <w:sz w:val="24"/>
                <w:szCs w:val="24"/>
                <w:highlight w:val="yellow"/>
              </w:rPr>
              <w:t>电话：</w:t>
            </w:r>
            <w:r>
              <w:rPr>
                <w:rFonts w:hint="eastAsia" w:ascii="宋体" w:hAnsi="宋体" w:eastAsia="宋体" w:cs="宋体"/>
                <w:b w:val="0"/>
                <w:bCs/>
                <w:snapToGrid w:val="0"/>
                <w:kern w:val="0"/>
                <w:sz w:val="24"/>
                <w:szCs w:val="24"/>
                <w:highlight w:val="yellow"/>
              </w:rPr>
              <w:t>1</w:t>
            </w:r>
            <w:r>
              <w:rPr>
                <w:rFonts w:hint="eastAsia" w:ascii="宋体" w:hAnsi="宋体" w:eastAsia="宋体" w:cs="宋体"/>
                <w:b w:val="0"/>
                <w:bCs/>
                <w:snapToGrid w:val="0"/>
                <w:kern w:val="0"/>
                <w:sz w:val="24"/>
                <w:szCs w:val="24"/>
                <w:highlight w:val="yellow"/>
                <w:lang w:val="en-US" w:eastAsia="zh-CN"/>
              </w:rPr>
              <w:t>8253155258</w:t>
            </w:r>
          </w:p>
          <w:p>
            <w:pPr>
              <w:ind w:firstLine="482" w:firstLineChars="200"/>
              <w:rPr>
                <w:rFonts w:hint="eastAsia" w:ascii="宋体" w:hAnsi="宋体" w:eastAsia="宋体" w:cs="宋体"/>
                <w:sz w:val="24"/>
                <w:szCs w:val="24"/>
              </w:rPr>
            </w:pPr>
            <w:r>
              <w:rPr>
                <w:rFonts w:hint="eastAsia" w:ascii="宋体" w:hAnsi="宋体" w:eastAsia="宋体" w:cs="宋体"/>
                <w:b/>
                <w:snapToGrid w:val="0"/>
                <w:kern w:val="0"/>
                <w:sz w:val="24"/>
                <w:szCs w:val="24"/>
                <w:highlight w:val="yellow"/>
              </w:rPr>
              <w:t>邮箱：</w:t>
            </w:r>
            <w:r>
              <w:rPr>
                <w:rFonts w:hint="eastAsia" w:ascii="宋体" w:hAnsi="宋体" w:eastAsia="宋体" w:cs="宋体"/>
                <w:b w:val="0"/>
                <w:bCs/>
                <w:snapToGrid w:val="0"/>
                <w:kern w:val="0"/>
                <w:sz w:val="24"/>
                <w:szCs w:val="24"/>
                <w:highlight w:val="yellow"/>
              </w:rPr>
              <w:t>zxzhangy@sinotruk.com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如需要，由投标人自行勘察现场，进行合理报价。投标总报价应包括设备费、原厂服务费及相关配件、随机资料、保险、税费、运杂、安装调试、与其他专业配合及可预见的风险以及其它不可预见等全部费用。</w:t>
            </w:r>
          </w:p>
          <w:p>
            <w:pPr>
              <w:ind w:firstLine="482" w:firstLineChars="200"/>
              <w:rPr>
                <w:rFonts w:hint="eastAsia" w:ascii="宋体" w:hAnsi="宋体" w:eastAsia="宋体" w:cs="宋体"/>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：人民币（应同时报含税价和不含税价，写明税率）或外币。</w:t>
            </w:r>
          </w:p>
          <w:p>
            <w:pPr>
              <w:pStyle w:val="5"/>
              <w:rPr>
                <w:rFonts w:hint="eastAsia" w:ascii="宋体" w:hAnsi="宋体" w:eastAsia="宋体" w:cs="宋体"/>
                <w:lang w:val="en-US" w:eastAsia="zh-CN"/>
              </w:rPr>
            </w:pPr>
            <w:r>
              <w:rPr>
                <w:rFonts w:hint="eastAsia" w:ascii="宋体" w:hAnsi="宋体" w:eastAsia="宋体" w:cs="宋体"/>
                <w:color w:val="000000"/>
                <w:sz w:val="24"/>
                <w:szCs w:val="24"/>
                <w:lang w:val="en-US" w:eastAsia="zh-CN"/>
              </w:rPr>
              <w:t xml:space="preserve">    </w:t>
            </w:r>
            <w:r>
              <w:rPr>
                <w:rFonts w:hint="eastAsia" w:ascii="宋体" w:hAnsi="宋体" w:eastAsia="宋体" w:cs="宋体"/>
                <w:b/>
                <w:bCs/>
                <w:color w:val="000000"/>
                <w:sz w:val="24"/>
                <w:szCs w:val="24"/>
              </w:rPr>
              <w:t>投标限价</w:t>
            </w:r>
            <w:r>
              <w:rPr>
                <w:rFonts w:hint="eastAsia" w:ascii="宋体" w:hAnsi="宋体" w:eastAsia="宋体" w:cs="宋体"/>
                <w:color w:val="000000"/>
                <w:sz w:val="24"/>
                <w:szCs w:val="24"/>
              </w:rPr>
              <w:t>：</w:t>
            </w:r>
            <w:r>
              <w:rPr>
                <w:rFonts w:hint="eastAsia" w:ascii="宋体" w:hAnsi="宋体" w:eastAsia="宋体" w:cs="宋体"/>
                <w:color w:val="000000"/>
                <w:sz w:val="24"/>
                <w:szCs w:val="24"/>
                <w:highlight w:val="yellow"/>
              </w:rPr>
              <w:t>人民币</w:t>
            </w:r>
            <w:r>
              <w:rPr>
                <w:rFonts w:hint="eastAsia" w:ascii="宋体" w:hAnsi="宋体" w:cs="宋体"/>
                <w:b/>
                <w:bCs/>
                <w:color w:val="000000"/>
                <w:sz w:val="24"/>
                <w:szCs w:val="24"/>
                <w:highlight w:val="yellow"/>
                <w:lang w:val="en-US" w:eastAsia="zh-CN"/>
              </w:rPr>
              <w:t>259.9</w:t>
            </w:r>
            <w:r>
              <w:rPr>
                <w:rFonts w:hint="eastAsia" w:ascii="宋体" w:hAnsi="宋体" w:eastAsia="宋体" w:cs="宋体"/>
                <w:color w:val="000000"/>
                <w:sz w:val="24"/>
                <w:szCs w:val="24"/>
                <w:highlight w:val="yellow"/>
              </w:rPr>
              <w:t>万元（含税，税率13%）</w:t>
            </w:r>
            <w:r>
              <w:rPr>
                <w:rFonts w:hint="eastAsia" w:ascii="宋体" w:hAnsi="宋体" w:eastAsia="宋体" w:cs="宋体"/>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int="eastAsia" w:ascii="宋体" w:hAnsi="宋体" w:eastAsia="宋体" w:cs="宋体"/>
                <w:b/>
                <w:bCs/>
                <w:color w:val="000000"/>
                <w:sz w:val="24"/>
                <w:szCs w:val="24"/>
              </w:rPr>
            </w:pPr>
            <w:r>
              <w:rPr>
                <w:rFonts w:hint="eastAsia" w:ascii="宋体" w:hAnsi="宋体" w:eastAsia="宋体" w:cs="宋体"/>
                <w:b/>
                <w:bCs/>
                <w:sz w:val="24"/>
                <w:szCs w:val="24"/>
                <w:highlight w:val="yellow"/>
              </w:rPr>
              <w:t>Ⅰ.对于中国境内投标人，投标条件如下：</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1.拟投标人必须是在中华人民共和国境内注册的独立法人机构，具有独立承担民事责任能力；注册资金不少于</w:t>
            </w:r>
            <w:r>
              <w:rPr>
                <w:rFonts w:hint="eastAsia" w:hAnsi="宋体" w:eastAsia="宋体" w:cs="宋体"/>
                <w:color w:val="000000"/>
                <w:sz w:val="24"/>
                <w:szCs w:val="24"/>
                <w:lang w:val="en-US" w:eastAsia="zh-CN"/>
              </w:rPr>
              <w:t>450</w:t>
            </w:r>
            <w:r>
              <w:rPr>
                <w:rFonts w:hint="eastAsia" w:ascii="宋体" w:hAnsi="宋体" w:eastAsia="宋体" w:cs="宋体"/>
                <w:color w:val="000000"/>
                <w:sz w:val="24"/>
                <w:szCs w:val="24"/>
              </w:rPr>
              <w:t>万人民币（或等值其他货币）；公司成立</w:t>
            </w:r>
            <w:r>
              <w:rPr>
                <w:rFonts w:hint="eastAsia" w:ascii="宋体" w:hAnsi="宋体" w:eastAsia="宋体" w:cs="宋体"/>
                <w:b/>
                <w:color w:val="000000"/>
                <w:sz w:val="24"/>
                <w:szCs w:val="24"/>
                <w:highlight w:val="yellow"/>
                <w:u w:val="single"/>
              </w:rPr>
              <w:t>三年以上</w:t>
            </w:r>
            <w:r>
              <w:rPr>
                <w:rFonts w:hint="eastAsia" w:ascii="宋体" w:hAnsi="宋体" w:eastAsia="宋体" w:cs="宋体"/>
                <w:color w:val="000000"/>
                <w:sz w:val="24"/>
                <w:szCs w:val="24"/>
              </w:rPr>
              <w:t>（以营业执照成立日期到开标当日满三年为准），且经营范围满足招标人需求；并在人员、设备、资金等方面具有承担本项目的能力；投标人为该标的物的制造商或其在中国境内有完善的技术以及售后服务体系；投标人为代理商的须具有制造商出具的授权书或经销代理证明以及售后服务承诺；</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2.拟投标人应提供营业执照</w:t>
            </w:r>
            <w:r>
              <w:rPr>
                <w:rFonts w:hint="eastAsia" w:ascii="宋体" w:hAnsi="宋体" w:eastAsia="宋体" w:cs="宋体"/>
                <w:b/>
                <w:sz w:val="24"/>
                <w:szCs w:val="24"/>
              </w:rPr>
              <w:t>副本原件和扫描件（需盖章）</w:t>
            </w:r>
            <w:r>
              <w:rPr>
                <w:rFonts w:hint="eastAsia" w:ascii="宋体" w:hAnsi="宋体" w:eastAsia="宋体" w:cs="宋体"/>
                <w:color w:val="000000"/>
                <w:sz w:val="24"/>
                <w:szCs w:val="24"/>
              </w:rPr>
              <w:t>；</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4.拟投标人在工商行政管理局的《国家企业信用信息公示系统》中查询不存在不良记录；</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6.拟投标人</w:t>
            </w:r>
            <w:r>
              <w:rPr>
                <w:rFonts w:hint="eastAsia" w:ascii="宋体" w:hAnsi="宋体" w:eastAsia="宋体" w:cs="宋体"/>
                <w:sz w:val="24"/>
                <w:szCs w:val="24"/>
                <w:highlight w:val="yellow"/>
              </w:rPr>
              <w:t>2022年1月1日</w:t>
            </w:r>
            <w:r>
              <w:rPr>
                <w:rFonts w:hint="eastAsia" w:ascii="宋体" w:hAnsi="宋体" w:eastAsia="宋体" w:cs="宋体"/>
                <w:sz w:val="24"/>
                <w:szCs w:val="24"/>
              </w:rPr>
              <w:t>至今</w:t>
            </w:r>
            <w:r>
              <w:rPr>
                <w:rFonts w:hint="eastAsia" w:ascii="宋体" w:hAnsi="宋体" w:eastAsia="宋体" w:cs="宋体"/>
                <w:color w:val="000000"/>
                <w:sz w:val="24"/>
                <w:szCs w:val="24"/>
                <w:highlight w:val="yellow"/>
              </w:rPr>
              <w:t>经</w:t>
            </w:r>
            <w:r>
              <w:rPr>
                <w:rFonts w:hint="eastAsia" w:ascii="宋体" w:hAnsi="宋体" w:eastAsia="宋体" w:cs="宋体"/>
                <w:b/>
                <w:bCs/>
                <w:color w:val="000000"/>
                <w:sz w:val="24"/>
                <w:szCs w:val="24"/>
                <w:highlight w:val="yellow"/>
              </w:rPr>
              <w:t>第三方</w:t>
            </w:r>
            <w:r>
              <w:rPr>
                <w:rFonts w:hint="eastAsia" w:ascii="宋体" w:hAnsi="宋体" w:eastAsia="宋体" w:cs="宋体"/>
                <w:color w:val="000000"/>
                <w:sz w:val="24"/>
                <w:szCs w:val="24"/>
                <w:highlight w:val="yellow"/>
              </w:rPr>
              <w:t>审计</w:t>
            </w:r>
            <w:r>
              <w:rPr>
                <w:rFonts w:hint="eastAsia" w:ascii="宋体" w:hAnsi="宋体" w:eastAsia="宋体" w:cs="宋体"/>
                <w:color w:val="000000"/>
                <w:sz w:val="24"/>
                <w:szCs w:val="24"/>
              </w:rPr>
              <w:t>的公司财务报表（资产负债表、损益表、现金流量表）未显示异常；</w:t>
            </w:r>
          </w:p>
          <w:p>
            <w:pPr>
              <w:pStyle w:val="20"/>
              <w:ind w:firstLine="480" w:firstLineChars="200"/>
              <w:rPr>
                <w:rFonts w:hint="eastAsia" w:ascii="宋体" w:hAnsi="宋体" w:eastAsia="宋体" w:cs="宋体"/>
                <w:kern w:val="0"/>
                <w:sz w:val="24"/>
                <w:szCs w:val="24"/>
                <w:lang w:bidi="ar"/>
              </w:rPr>
            </w:pPr>
            <w:r>
              <w:rPr>
                <w:rFonts w:hint="eastAsia" w:ascii="宋体" w:hAnsi="宋体" w:eastAsia="宋体" w:cs="宋体"/>
                <w:color w:val="000000"/>
                <w:kern w:val="0"/>
                <w:sz w:val="24"/>
                <w:szCs w:val="24"/>
              </w:rPr>
              <w:t>7.</w:t>
            </w:r>
            <w:r>
              <w:rPr>
                <w:rFonts w:hint="eastAsia" w:ascii="宋体" w:hAnsi="宋体" w:eastAsia="宋体" w:cs="宋体"/>
                <w:color w:val="000000"/>
                <w:sz w:val="24"/>
                <w:szCs w:val="24"/>
              </w:rPr>
              <w:t>拟投标人有与本次招标内容相同或类似项目业绩，且近3年内无因服务不当而造成重大事故；</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8.投标人三年内无违法及重大违规情况；</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9.投标人须认可招标人的工作指令，包括节、假日能正常开展工作的要求；</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10.投标人最近半年纳税正常；</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11.投标人信用证明材料（中国人民银行信用代码证+征信报告）未显示异常；</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12.供方的直接或间接股东、法定代表人、董事、监事、高管非重汽员工及其亲属；</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13.如为代理商投标，需获得生产厂家正式授权，提供授权书原件，保证提供原厂售后服务并提供原厂售后服务承诺书原件。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bookmarkStart w:id="2" w:name="_Toc346372875"/>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color w:val="000000"/>
                <w:kern w:val="2"/>
                <w:sz w:val="24"/>
                <w:szCs w:val="24"/>
                <w:highlight w:val="yellow"/>
                <w:u w:val="single"/>
                <w:lang w:val="en-US" w:eastAsia="zh-CN" w:bidi="ar-SA"/>
              </w:rPr>
              <w:t>2025年09月15日</w:t>
            </w:r>
            <w:r>
              <w:rPr>
                <w:rFonts w:hint="eastAsia" w:ascii="宋体" w:hAnsi="宋体" w:eastAsia="宋体" w:cs="宋体"/>
                <w:bCs/>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hint="eastAsia"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rPr>
            </w:pPr>
            <w:r>
              <w:rPr>
                <w:rFonts w:hint="eastAsia" w:ascii="宋体" w:hAnsi="宋体" w:eastAsia="宋体" w:cs="宋体"/>
                <w:sz w:val="24"/>
                <w:szCs w:val="24"/>
              </w:rPr>
              <w:t>发标方式：中国重汽官网、山东省阳光采购服务平台</w:t>
            </w:r>
            <w:r>
              <w:rPr>
                <w:rFonts w:hint="eastAsia" w:ascii="宋体" w:hAnsi="宋体" w:eastAsia="宋体" w:cs="宋体"/>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175"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color w:val="000000"/>
                <w:kern w:val="2"/>
                <w:sz w:val="24"/>
                <w:szCs w:val="24"/>
                <w:highlight w:val="yellow"/>
                <w:u w:val="single"/>
                <w:lang w:val="en-US" w:eastAsia="zh-CN" w:bidi="ar-SA"/>
              </w:rPr>
              <w:t>2025年10月12日17:00</w:t>
            </w:r>
            <w:r>
              <w:rPr>
                <w:rFonts w:hint="eastAsia" w:ascii="宋体" w:hAnsi="宋体" w:eastAsia="宋体" w:cs="宋体"/>
                <w:bCs/>
                <w:sz w:val="24"/>
                <w:szCs w:val="24"/>
                <w:highlight w:val="yellow"/>
              </w:rPr>
              <w:t>前；</w:t>
            </w:r>
          </w:p>
          <w:p>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：将答疑问题以word文件格式发邮件至</w:t>
            </w:r>
            <w:r>
              <w:rPr>
                <w:rFonts w:hint="eastAsia" w:ascii="宋体" w:hAnsi="宋体" w:eastAsia="宋体" w:cs="宋体"/>
                <w:sz w:val="24"/>
                <w:szCs w:val="24"/>
                <w:highlight w:val="yellow"/>
              </w:rPr>
              <w:t>zxzhangy@sinotruk.com</w:t>
            </w:r>
            <w:r>
              <w:rPr>
                <w:rFonts w:hint="eastAsia" w:ascii="宋体" w:hAnsi="宋体" w:eastAsia="宋体" w:cs="宋体"/>
                <w:sz w:val="24"/>
                <w:szCs w:val="24"/>
              </w:rPr>
              <w:t>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同时须在邮件中以文字方式提供投标单位全称、投标授权人姓名、联系方式（固定电话、手机、电子邮箱）。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color w:val="000000"/>
                <w:kern w:val="2"/>
                <w:sz w:val="24"/>
                <w:szCs w:val="24"/>
                <w:highlight w:val="yellow"/>
                <w:u w:val="single"/>
                <w:lang w:val="en-US" w:eastAsia="zh-CN" w:bidi="ar-SA"/>
              </w:rPr>
              <w:t>2025年10月12日17:00</w:t>
            </w:r>
            <w:r>
              <w:rPr>
                <w:rFonts w:hint="eastAsia" w:ascii="宋体" w:hAnsi="宋体" w:eastAsia="宋体" w:cs="宋体"/>
                <w:sz w:val="24"/>
                <w:szCs w:val="24"/>
              </w:rPr>
              <w:t>前；</w:t>
            </w:r>
          </w:p>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5"/>
              <w:spacing w:line="240" w:lineRule="auto"/>
              <w:ind w:firstLine="482"/>
              <w:rPr>
                <w:rFonts w:hint="eastAsia" w:ascii="宋体" w:hAnsi="宋体" w:eastAsia="宋体" w:cs="宋体"/>
                <w:b/>
                <w:bCs/>
              </w:rPr>
            </w:pPr>
            <w:r>
              <w:rPr>
                <w:rFonts w:hint="eastAsia" w:ascii="宋体" w:hAnsi="宋体" w:eastAsia="宋体" w:cs="宋体"/>
                <w:b/>
                <w:bCs/>
              </w:rPr>
              <w:t>报名方式：</w:t>
            </w:r>
            <w:r>
              <w:rPr>
                <w:rFonts w:hint="eastAsia" w:ascii="宋体" w:hAnsi="宋体" w:eastAsia="宋体" w:cs="宋体"/>
              </w:rPr>
              <w:t>拟投标人根据招标</w:t>
            </w:r>
            <w:bookmarkStart w:id="207" w:name="_GoBack"/>
            <w:bookmarkEnd w:id="207"/>
            <w:r>
              <w:rPr>
                <w:rFonts w:hint="eastAsia" w:ascii="宋体" w:hAnsi="宋体" w:eastAsia="宋体" w:cs="宋体"/>
              </w:rPr>
              <w:t>人在中国重汽官网等公开媒体上发布的招标信息，在“中国重汽e采通”平台报名。</w:t>
            </w:r>
            <w:r>
              <w:rPr>
                <w:rFonts w:hint="eastAsia" w:ascii="宋体" w:hAnsi="宋体" w:eastAsia="宋体" w:cs="宋体"/>
                <w:b/>
                <w:bCs/>
              </w:rPr>
              <w:t>按照中国重汽e采通“SRM非生产供应商注册手册”（附件15）进行注册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后按照招标文件第三部分投标文件组成资格证明文件中的1.1-1.12准备资料并</w:t>
            </w:r>
            <w:r>
              <w:rPr>
                <w:rFonts w:hint="eastAsia" w:ascii="宋体" w:hAnsi="宋体" w:eastAsia="宋体" w:cs="宋体"/>
              </w:rPr>
              <w:t>上传，资质审查通过即为报名成功；公示期间请尽快报名。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5"/>
              <w:spacing w:line="240" w:lineRule="auto"/>
              <w:ind w:firstLine="482"/>
              <w:rPr>
                <w:rFonts w:hint="eastAsia" w:ascii="宋体" w:hAnsi="宋体" w:eastAsia="宋体" w:cs="宋体"/>
                <w:highlight w:val="yellow"/>
                <w:u w:val="single"/>
              </w:rPr>
            </w:pPr>
            <w:r>
              <w:rPr>
                <w:rFonts w:hint="eastAsia" w:ascii="宋体" w:hAnsi="宋体" w:eastAsia="宋体" w:cs="宋体"/>
                <w:b/>
                <w:bCs/>
              </w:rPr>
              <w:t>应标截止时间：</w:t>
            </w:r>
            <w:r>
              <w:rPr>
                <w:rFonts w:hint="eastAsia" w:ascii="宋体" w:hAnsi="宋体" w:eastAsia="宋体" w:cs="宋体"/>
                <w:highlight w:val="yellow"/>
                <w:u w:val="single"/>
              </w:rPr>
              <w:t>2025年0</w:t>
            </w:r>
            <w:r>
              <w:rPr>
                <w:rFonts w:hint="eastAsia" w:ascii="宋体" w:hAnsi="宋体" w:eastAsia="宋体" w:cs="宋体"/>
                <w:highlight w:val="yellow"/>
                <w:u w:val="single"/>
                <w:lang w:val="en-US" w:eastAsia="zh-CN"/>
              </w:rPr>
              <w:t>9</w:t>
            </w:r>
            <w:r>
              <w:rPr>
                <w:rFonts w:hint="eastAsia" w:ascii="宋体" w:hAnsi="宋体" w:eastAsia="宋体" w:cs="宋体"/>
                <w:highlight w:val="yellow"/>
                <w:u w:val="single"/>
              </w:rPr>
              <w:t>月</w:t>
            </w:r>
            <w:r>
              <w:rPr>
                <w:rFonts w:hint="eastAsia" w:eastAsia="宋体" w:cs="宋体"/>
                <w:highlight w:val="yellow"/>
                <w:u w:val="single"/>
                <w:lang w:val="en-US" w:eastAsia="zh-CN"/>
              </w:rPr>
              <w:t>23</w:t>
            </w:r>
            <w:r>
              <w:rPr>
                <w:rFonts w:hint="eastAsia" w:ascii="宋体" w:hAnsi="宋体" w:eastAsia="宋体" w:cs="宋体"/>
                <w:highlight w:val="yellow"/>
                <w:u w:val="single"/>
              </w:rPr>
              <w:t>日17时00分00秒</w:t>
            </w:r>
          </w:p>
          <w:p>
            <w:pPr>
              <w:pStyle w:val="115"/>
              <w:spacing w:line="240" w:lineRule="auto"/>
              <w:ind w:firstLine="482"/>
              <w:rPr>
                <w:rFonts w:hint="eastAsia" w:ascii="宋体" w:hAnsi="宋体" w:eastAsia="宋体" w:cs="宋体"/>
                <w:highlight w:val="yellow"/>
              </w:rPr>
            </w:pPr>
            <w:r>
              <w:rPr>
                <w:rFonts w:hint="eastAsia" w:ascii="宋体" w:hAnsi="宋体"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Cs/>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文件组成，共计3个文件。</w:t>
            </w:r>
          </w:p>
          <w:p>
            <w:pPr>
              <w:ind w:firstLine="482" w:firstLineChars="200"/>
              <w:rPr>
                <w:rFonts w:hint="eastAsia" w:ascii="宋体" w:hAnsi="宋体" w:eastAsia="宋体" w:cs="宋体"/>
                <w:b/>
                <w:sz w:val="24"/>
                <w:szCs w:val="24"/>
              </w:rPr>
            </w:pPr>
            <w:r>
              <w:rPr>
                <w:rFonts w:hint="eastAsia" w:ascii="宋体" w:hAnsi="宋体"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ascii="宋体" w:hAnsi="宋体"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ascii="宋体" w:hAnsi="宋体"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pPr>
              <w:ind w:firstLine="480" w:firstLineChars="200"/>
              <w:rPr>
                <w:rFonts w:hint="eastAsia"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Cs/>
                <w:sz w:val="24"/>
                <w:szCs w:val="24"/>
              </w:rPr>
            </w:pPr>
            <w:r>
              <w:rPr>
                <w:rFonts w:hint="eastAsia" w:ascii="宋体" w:hAnsi="宋体" w:eastAsia="宋体" w:cs="宋体"/>
                <w:b/>
                <w:sz w:val="24"/>
                <w:szCs w:val="24"/>
              </w:rPr>
              <w:t>投标方式：在中国重汽e采通平台应标成功后，进入“供应商投标”环节，投递盖章扫描版电子标书（包含资质标书、技术标书、商务标书），</w:t>
            </w:r>
            <w:r>
              <w:rPr>
                <w:rFonts w:hint="eastAsia" w:ascii="宋体" w:hAnsi="宋体" w:eastAsia="宋体" w:cs="宋体"/>
                <w:sz w:val="24"/>
                <w:szCs w:val="24"/>
              </w:rPr>
              <w:t>若逾期未在中国重汽e采通平台上传电子标书，即便递交了纸版投标文件，一律视为无效投标</w:t>
            </w:r>
            <w:r>
              <w:rPr>
                <w:rFonts w:hint="eastAsia" w:ascii="宋体" w:hAnsi="宋体" w:eastAsia="宋体" w:cs="宋体"/>
                <w:b/>
                <w:sz w:val="24"/>
                <w:szCs w:val="24"/>
              </w:rPr>
              <w:t>。</w:t>
            </w:r>
          </w:p>
          <w:p>
            <w:pPr>
              <w:ind w:firstLine="420" w:firstLineChars="200"/>
              <w:rPr>
                <w:rFonts w:hint="eastAsia" w:ascii="宋体" w:hAnsi="宋体" w:eastAsia="宋体" w:cs="宋体"/>
                <w:bCs/>
                <w:sz w:val="24"/>
                <w:szCs w:val="24"/>
              </w:rPr>
            </w:pPr>
            <w:r>
              <w:rPr>
                <w:rFonts w:hint="eastAsia" w:ascii="宋体" w:hAnsi="宋体" w:eastAsia="宋体" w:cs="宋体"/>
                <w:bCs/>
              </w:rPr>
              <w:t xml:space="preserve"> </w:t>
            </w:r>
            <w:r>
              <w:rPr>
                <w:rFonts w:hint="eastAsia" w:ascii="宋体" w:hAnsi="宋体" w:eastAsia="宋体" w:cs="宋体"/>
                <w:bCs/>
                <w:sz w:val="24"/>
                <w:szCs w:val="24"/>
              </w:rPr>
              <w:t>纸质版投标文件的份数要求为</w:t>
            </w:r>
            <w:r>
              <w:rPr>
                <w:rFonts w:hint="eastAsia" w:ascii="宋体" w:hAnsi="宋体" w:eastAsia="宋体" w:cs="宋体"/>
                <w:b/>
                <w:sz w:val="24"/>
                <w:szCs w:val="24"/>
                <w:highlight w:val="yellow"/>
              </w:rPr>
              <w:t>一式三份，正本一份，副本两份</w:t>
            </w:r>
            <w:r>
              <w:rPr>
                <w:rFonts w:hint="eastAsia" w:ascii="宋体" w:hAnsi="宋体" w:eastAsia="宋体" w:cs="宋体"/>
                <w:bCs/>
                <w:sz w:val="24"/>
                <w:szCs w:val="24"/>
                <w:highlight w:val="yellow"/>
              </w:rPr>
              <w:t>，</w:t>
            </w:r>
            <w:r>
              <w:rPr>
                <w:rFonts w:hint="eastAsia" w:ascii="宋体" w:hAnsi="宋体" w:eastAsia="宋体" w:cs="宋体"/>
                <w:bCs/>
                <w:sz w:val="24"/>
                <w:szCs w:val="24"/>
              </w:rPr>
              <w:t>资质投标书、技术投标书及商务投标书的</w:t>
            </w:r>
            <w:r>
              <w:rPr>
                <w:rFonts w:hint="eastAsia" w:ascii="宋体" w:hAnsi="宋体" w:eastAsia="宋体" w:cs="宋体"/>
                <w:b/>
                <w:sz w:val="24"/>
                <w:szCs w:val="24"/>
              </w:rPr>
              <w:t>同类文件封装在一个包封里，包封表面按照附件13标注文件信息；共计三个包封</w:t>
            </w:r>
            <w:r>
              <w:rPr>
                <w:rFonts w:hint="eastAsia" w:ascii="宋体" w:hAnsi="宋体" w:eastAsia="宋体" w:cs="宋体"/>
                <w:bCs/>
                <w:sz w:val="24"/>
                <w:szCs w:val="24"/>
              </w:rPr>
              <w:t>。</w:t>
            </w:r>
          </w:p>
          <w:p>
            <w:pPr>
              <w:pStyle w:val="20"/>
              <w:ind w:firstLine="480" w:firstLineChars="200"/>
              <w:rPr>
                <w:rFonts w:hint="eastAsia" w:ascii="宋体" w:hAnsi="宋体" w:eastAsia="宋体" w:cs="宋体"/>
                <w:bCs/>
                <w:sz w:val="24"/>
                <w:szCs w:val="24"/>
              </w:rPr>
            </w:pPr>
            <w:r>
              <w:rPr>
                <w:rFonts w:hint="eastAsia" w:hAnsi="宋体" w:eastAsia="宋体" w:cs="宋体"/>
                <w:bCs/>
                <w:sz w:val="24"/>
                <w:szCs w:val="24"/>
                <w:lang w:val="en-US" w:eastAsia="zh-CN"/>
              </w:rPr>
              <w:t>线下</w:t>
            </w:r>
            <w:r>
              <w:rPr>
                <w:rFonts w:hint="eastAsia" w:ascii="宋体" w:hAnsi="宋体" w:eastAsia="宋体" w:cs="宋体"/>
                <w:bCs/>
                <w:sz w:val="24"/>
                <w:szCs w:val="24"/>
              </w:rPr>
              <w:t>开标，自行携带纸质投标文件于开标前至开标地点即可。</w:t>
            </w:r>
          </w:p>
          <w:p>
            <w:pPr>
              <w:pStyle w:val="20"/>
              <w:ind w:firstLine="480" w:firstLineChars="200"/>
              <w:rPr>
                <w:rFonts w:hint="eastAsia" w:ascii="宋体" w:hAnsi="宋体" w:eastAsia="宋体" w:cs="宋体"/>
                <w:bCs/>
                <w:sz w:val="24"/>
                <w:szCs w:val="24"/>
              </w:rPr>
            </w:pPr>
            <w:r>
              <w:rPr>
                <w:rFonts w:hint="eastAsia" w:ascii="宋体" w:hAnsi="宋体" w:eastAsia="宋体" w:cs="宋体"/>
                <w:bCs/>
                <w:sz w:val="24"/>
                <w:szCs w:val="24"/>
              </w:rPr>
              <w:t>线上开标，纸质投标文件需在开标日前两天，邮寄到指定地址。</w:t>
            </w:r>
          </w:p>
          <w:p>
            <w:pPr>
              <w:pStyle w:val="20"/>
              <w:rPr>
                <w:rFonts w:hint="eastAsia" w:ascii="宋体" w:hAnsi="宋体" w:eastAsia="宋体" w:cs="宋体"/>
                <w:b w:val="0"/>
                <w:bCs w:val="0"/>
                <w:color w:val="000000"/>
                <w:sz w:val="24"/>
                <w:szCs w:val="24"/>
                <w:highlight w:val="yellow"/>
              </w:rPr>
            </w:pPr>
            <w:r>
              <w:rPr>
                <w:rFonts w:hint="eastAsia" w:ascii="宋体" w:hAnsi="宋体" w:eastAsia="宋体" w:cs="宋体"/>
                <w:b/>
                <w:sz w:val="24"/>
                <w:szCs w:val="24"/>
              </w:rPr>
              <w:t>邮寄地址：</w:t>
            </w:r>
            <w:r>
              <w:rPr>
                <w:rFonts w:hint="eastAsia" w:ascii="宋体" w:hAnsi="宋体" w:eastAsia="宋体" w:cs="宋体"/>
                <w:b w:val="0"/>
                <w:bCs w:val="0"/>
                <w:color w:val="000000"/>
                <w:sz w:val="24"/>
                <w:szCs w:val="24"/>
                <w:highlight w:val="yellow"/>
              </w:rPr>
              <w:t>山东省济南市历城区华奥路777号</w:t>
            </w:r>
          </w:p>
          <w:p>
            <w:pPr>
              <w:pStyle w:val="20"/>
              <w:rPr>
                <w:rFonts w:hint="default" w:ascii="宋体" w:hAnsi="宋体" w:eastAsia="宋体" w:cs="宋体"/>
                <w:color w:val="000000"/>
                <w:sz w:val="24"/>
                <w:szCs w:val="24"/>
                <w:lang w:val="en-US"/>
              </w:rPr>
            </w:pPr>
            <w:r>
              <w:rPr>
                <w:rFonts w:hint="eastAsia" w:ascii="宋体" w:hAnsi="宋体" w:eastAsia="宋体" w:cs="宋体"/>
                <w:b/>
                <w:bCs/>
                <w:color w:val="000000"/>
                <w:sz w:val="24"/>
                <w:szCs w:val="24"/>
              </w:rPr>
              <w:t>联系人及联系方式</w:t>
            </w:r>
            <w:r>
              <w:rPr>
                <w:rFonts w:hint="eastAsia" w:ascii="宋体" w:hAnsi="宋体" w:eastAsia="宋体" w:cs="宋体"/>
                <w:color w:val="000000"/>
                <w:sz w:val="24"/>
                <w:szCs w:val="24"/>
                <w:highlight w:val="yellow"/>
              </w:rPr>
              <w:t>：</w:t>
            </w:r>
            <w:r>
              <w:rPr>
                <w:rFonts w:hint="eastAsia" w:hAnsi="宋体" w:eastAsia="宋体" w:cs="宋体"/>
                <w:b w:val="0"/>
                <w:bCs w:val="0"/>
                <w:color w:val="000000"/>
                <w:sz w:val="24"/>
                <w:szCs w:val="24"/>
                <w:highlight w:val="yellow"/>
                <w:lang w:val="en-US" w:eastAsia="zh-CN"/>
              </w:rPr>
              <w:t>杨淑超</w:t>
            </w:r>
            <w:r>
              <w:rPr>
                <w:rFonts w:hint="eastAsia" w:ascii="宋体" w:hAnsi="宋体" w:eastAsia="宋体" w:cs="宋体"/>
                <w:b w:val="0"/>
                <w:bCs w:val="0"/>
                <w:color w:val="000000"/>
                <w:sz w:val="24"/>
                <w:szCs w:val="24"/>
                <w:highlight w:val="yellow"/>
              </w:rPr>
              <w:t>/</w:t>
            </w:r>
            <w:r>
              <w:rPr>
                <w:rFonts w:hint="eastAsia" w:hAnsi="宋体" w:eastAsia="宋体" w:cs="宋体"/>
                <w:b w:val="0"/>
                <w:bCs w:val="0"/>
                <w:snapToGrid w:val="0"/>
                <w:kern w:val="0"/>
                <w:sz w:val="24"/>
                <w:szCs w:val="24"/>
                <w:highlight w:val="yellow"/>
                <w:lang w:val="en-US" w:eastAsia="zh-CN"/>
              </w:rPr>
              <w:t>17860605820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spacing w:line="460" w:lineRule="exact"/>
              <w:ind w:firstLine="482" w:firstLineChars="200"/>
              <w:rPr>
                <w:rFonts w:hint="eastAsia" w:ascii="宋体" w:hAnsi="宋体" w:eastAsia="宋体" w:cs="宋体"/>
                <w:color w:val="000000"/>
                <w:sz w:val="24"/>
                <w:szCs w:val="24"/>
                <w:highlight w:val="yellow"/>
              </w:rPr>
            </w:pPr>
            <w:r>
              <w:rPr>
                <w:rFonts w:hint="eastAsia" w:ascii="宋体" w:hAnsi="宋体" w:eastAsia="宋体" w:cs="宋体"/>
                <w:b/>
                <w:bCs/>
                <w:sz w:val="24"/>
              </w:rPr>
              <w:t>纸质版投标文件和电子版投标文件必须保证内容一致；如确实存在不一致的，以电子标书为准，同时要求投标方对纸版标书做出修正。</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pPr>
              <w:pStyle w:val="20"/>
              <w:rPr>
                <w:rFonts w:hint="eastAsia" w:ascii="宋体" w:hAnsi="宋体" w:eastAsia="宋体" w:cs="宋体"/>
                <w:b/>
                <w:sz w:val="24"/>
                <w:szCs w:val="24"/>
              </w:rPr>
            </w:pPr>
            <w:r>
              <w:rPr>
                <w:rFonts w:hint="eastAsia" w:ascii="宋体" w:hAnsi="宋体" w:eastAsia="宋体" w:cs="宋体"/>
                <w:b/>
                <w:bCs/>
                <w:sz w:val="24"/>
                <w:szCs w:val="24"/>
              </w:rPr>
              <w:t>技术标书和商务标书不单独装订的，投标文件做无效标处理。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投标文件递交截止时间：</w:t>
            </w:r>
            <w:r>
              <w:rPr>
                <w:rFonts w:hint="eastAsia" w:ascii="宋体" w:hAnsi="宋体" w:eastAsia="宋体" w:cs="宋体"/>
                <w:color w:val="000000"/>
                <w:kern w:val="2"/>
                <w:sz w:val="24"/>
                <w:szCs w:val="24"/>
                <w:highlight w:val="yellow"/>
                <w:u w:val="single"/>
                <w:lang w:val="en-US" w:eastAsia="zh-CN" w:bidi="ar-SA"/>
              </w:rPr>
              <w:t>2025年</w:t>
            </w:r>
            <w:r>
              <w:rPr>
                <w:rFonts w:hint="eastAsia" w:hAnsi="宋体" w:eastAsia="宋体" w:cs="宋体"/>
                <w:color w:val="000000"/>
                <w:kern w:val="2"/>
                <w:sz w:val="24"/>
                <w:szCs w:val="24"/>
                <w:highlight w:val="yellow"/>
                <w:u w:val="single"/>
                <w:lang w:val="en-US" w:eastAsia="zh-CN" w:bidi="ar-SA"/>
              </w:rPr>
              <w:t>10</w:t>
            </w:r>
            <w:r>
              <w:rPr>
                <w:rFonts w:hint="eastAsia" w:ascii="宋体" w:hAnsi="宋体" w:eastAsia="宋体" w:cs="宋体"/>
                <w:color w:val="000000"/>
                <w:kern w:val="2"/>
                <w:sz w:val="24"/>
                <w:szCs w:val="24"/>
                <w:highlight w:val="yellow"/>
                <w:u w:val="single"/>
                <w:lang w:val="en-US" w:eastAsia="zh-CN" w:bidi="ar-SA"/>
              </w:rPr>
              <w:t>月</w:t>
            </w:r>
            <w:r>
              <w:rPr>
                <w:rFonts w:hint="eastAsia" w:hAnsi="宋体" w:eastAsia="宋体" w:cs="宋体"/>
                <w:color w:val="000000"/>
                <w:kern w:val="2"/>
                <w:sz w:val="24"/>
                <w:szCs w:val="24"/>
                <w:highlight w:val="yellow"/>
                <w:u w:val="single"/>
                <w:lang w:val="en-US" w:eastAsia="zh-CN" w:bidi="ar-SA"/>
              </w:rPr>
              <w:t>14</w:t>
            </w:r>
            <w:r>
              <w:rPr>
                <w:rFonts w:hint="eastAsia" w:ascii="宋体" w:hAnsi="宋体" w:eastAsia="宋体" w:cs="宋体"/>
                <w:color w:val="000000"/>
                <w:kern w:val="2"/>
                <w:sz w:val="24"/>
                <w:szCs w:val="24"/>
                <w:highlight w:val="yellow"/>
                <w:u w:val="single"/>
                <w:lang w:val="en-US" w:eastAsia="zh-CN" w:bidi="ar-SA"/>
              </w:rPr>
              <w:t>日8:00</w:t>
            </w:r>
          </w:p>
          <w:p>
            <w:pPr>
              <w:pStyle w:val="20"/>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rPr>
              <w:t>注：请务必在投标文件递交截止时间前完成投标操作，截止时间精确到秒，逾期将无法投标。请自行掌握时间安排，避免无法投标。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电汇（境内）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pStyle w:val="38"/>
              <w:spacing w:after="0" w:line="240" w:lineRule="auto"/>
              <w:ind w:left="0" w:leftChars="0" w:firstLine="480"/>
              <w:rPr>
                <w:rFonts w:hint="eastAsia" w:ascii="宋体" w:hAnsi="宋体" w:eastAsia="宋体" w:cs="宋体"/>
                <w:sz w:val="24"/>
                <w:szCs w:val="24"/>
                <w:highlight w:val="yellow"/>
                <w:u w:val="single"/>
              </w:rPr>
            </w:pPr>
            <w:r>
              <w:rPr>
                <w:rFonts w:hint="eastAsia" w:ascii="宋体" w:hAnsi="宋体" w:eastAsia="宋体" w:cs="宋体"/>
                <w:sz w:val="24"/>
                <w:szCs w:val="24"/>
                <w:highlight w:val="yellow"/>
              </w:rPr>
              <w:t>Ⅰ.境内投标单位缴纳投标保证金信息：</w:t>
            </w:r>
          </w:p>
          <w:p>
            <w:pPr>
              <w:tabs>
                <w:tab w:val="left" w:pos="932"/>
              </w:tabs>
              <w:ind w:firstLine="482" w:firstLineChars="200"/>
              <w:rPr>
                <w:rFonts w:hint="eastAsia"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20</w:t>
            </w:r>
            <w:r>
              <w:rPr>
                <w:rFonts w:hint="eastAsia" w:ascii="宋体" w:hAnsi="宋体" w:eastAsia="宋体" w:cs="宋体"/>
                <w:sz w:val="24"/>
                <w:szCs w:val="24"/>
                <w:highlight w:val="yellow"/>
              </w:rPr>
              <w:t>000.00元</w:t>
            </w:r>
          </w:p>
          <w:p>
            <w:pPr>
              <w:tabs>
                <w:tab w:val="left" w:pos="932"/>
              </w:tabs>
              <w:ind w:firstLine="482" w:firstLineChars="200"/>
              <w:rPr>
                <w:rFonts w:hint="eastAsia" w:ascii="宋体" w:hAnsi="宋体" w:eastAsia="宋体" w:cs="宋体"/>
                <w:color w:val="000000"/>
                <w:kern w:val="0"/>
                <w:sz w:val="24"/>
                <w:szCs w:val="24"/>
                <w:highlight w:val="yellow"/>
                <w:lang w:eastAsia="zh-CN"/>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lang w:eastAsia="zh-CN"/>
              </w:rPr>
              <w:t>中国重汽集团济南动力有限公司</w:t>
            </w:r>
          </w:p>
          <w:p>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中国建设银行股份有限公司济南天桥支行</w:t>
            </w:r>
          </w:p>
          <w:p>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pPr>
              <w:ind w:firstLine="482" w:firstLineChars="200"/>
              <w:rPr>
                <w:rFonts w:hint="eastAsia"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pPr>
              <w:pStyle w:val="38"/>
              <w:spacing w:after="0" w:line="240" w:lineRule="auto"/>
              <w:ind w:left="0" w:leftChars="0" w:firstLine="480"/>
              <w:rPr>
                <w:rFonts w:hint="eastAsia" w:ascii="宋体" w:hAnsi="宋体" w:eastAsia="宋体" w:cs="宋体"/>
                <w:sz w:val="24"/>
                <w:szCs w:val="24"/>
              </w:rPr>
            </w:pPr>
            <w:r>
              <w:rPr>
                <w:rFonts w:hint="eastAsia" w:ascii="宋体" w:hAnsi="宋体" w:eastAsia="宋体" w:cs="宋体"/>
                <w:sz w:val="24"/>
                <w:szCs w:val="24"/>
              </w:rPr>
              <w:t>投标保证金应从投标人基本账户转出至上述账户并到账，否则视为无效投标。</w:t>
            </w:r>
          </w:p>
          <w:p>
            <w:pPr>
              <w:pStyle w:val="38"/>
              <w:spacing w:after="0" w:line="240" w:lineRule="auto"/>
              <w:ind w:left="0" w:leftChars="0" w:firstLine="480"/>
              <w:rPr>
                <w:rFonts w:hint="eastAsia" w:ascii="宋体" w:hAnsi="宋体" w:eastAsia="宋体" w:cs="宋体"/>
                <w:sz w:val="24"/>
                <w:szCs w:val="24"/>
              </w:rPr>
            </w:pPr>
            <w:r>
              <w:rPr>
                <w:rFonts w:hint="eastAsia" w:ascii="宋体" w:hAnsi="宋体" w:eastAsia="宋体" w:cs="宋体"/>
                <w:sz w:val="24"/>
                <w:szCs w:val="24"/>
              </w:rPr>
              <w:t>Ⅱ.</w:t>
            </w:r>
            <w:r>
              <w:rPr>
                <w:rFonts w:hint="eastAsia" w:ascii="宋体" w:hAnsi="宋体" w:eastAsia="宋体" w:cs="宋体"/>
                <w:sz w:val="24"/>
                <w:szCs w:val="24"/>
                <w:highlight w:val="yellow"/>
              </w:rPr>
              <w:t>转账附言：公司名称+项目名称+投标保证金（方便后期核对退款）。</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5"/>
              <w:spacing w:line="240" w:lineRule="auto"/>
              <w:ind w:firstLine="482"/>
              <w:rPr>
                <w:rFonts w:hint="eastAsia" w:ascii="宋体" w:hAnsi="宋体" w:eastAsia="宋体" w:cs="宋体"/>
                <w:sz w:val="24"/>
                <w:szCs w:val="24"/>
                <w:u w:val="single"/>
              </w:rPr>
            </w:pPr>
            <w:r>
              <w:rPr>
                <w:rFonts w:hint="eastAsia" w:ascii="宋体" w:hAnsi="宋体" w:eastAsia="宋体" w:cs="宋体"/>
                <w:b/>
                <w:bCs/>
                <w:sz w:val="24"/>
                <w:szCs w:val="24"/>
              </w:rPr>
              <w:t>保证金缴纳截止时间：</w:t>
            </w:r>
            <w:r>
              <w:rPr>
                <w:rFonts w:hint="eastAsia" w:ascii="宋体" w:hAnsi="宋体" w:eastAsia="宋体" w:cs="宋体"/>
                <w:highlight w:val="yellow"/>
                <w:u w:val="single"/>
              </w:rPr>
              <w:t>2025年</w:t>
            </w:r>
            <w:r>
              <w:rPr>
                <w:rFonts w:hint="eastAsia" w:eastAsia="宋体" w:cs="宋体"/>
                <w:highlight w:val="yellow"/>
                <w:u w:val="single"/>
                <w:lang w:val="en-US" w:eastAsia="zh-CN"/>
              </w:rPr>
              <w:t>10</w:t>
            </w:r>
            <w:r>
              <w:rPr>
                <w:rFonts w:hint="eastAsia" w:ascii="宋体" w:hAnsi="宋体" w:eastAsia="宋体" w:cs="宋体"/>
                <w:highlight w:val="yellow"/>
                <w:u w:val="single"/>
              </w:rPr>
              <w:t>月</w:t>
            </w:r>
            <w:r>
              <w:rPr>
                <w:rFonts w:hint="eastAsia" w:eastAsia="宋体" w:cs="宋体"/>
                <w:highlight w:val="yellow"/>
                <w:u w:val="single"/>
                <w:lang w:val="en-US" w:eastAsia="zh-CN"/>
              </w:rPr>
              <w:t>13</w:t>
            </w:r>
            <w:r>
              <w:rPr>
                <w:rFonts w:hint="eastAsia" w:ascii="宋体" w:hAnsi="宋体" w:eastAsia="宋体" w:cs="宋体"/>
                <w:highlight w:val="yellow"/>
                <w:u w:val="single"/>
              </w:rPr>
              <w:t>日17时00分00秒</w:t>
            </w:r>
          </w:p>
          <w:p>
            <w:pPr>
              <w:pStyle w:val="38"/>
              <w:spacing w:after="0" w:line="240" w:lineRule="auto"/>
              <w:ind w:left="0" w:leftChars="0" w:firstLine="480"/>
              <w:rPr>
                <w:rFonts w:hint="eastAsia" w:ascii="宋体" w:hAnsi="宋体" w:eastAsia="宋体" w:cs="宋体"/>
                <w:sz w:val="24"/>
                <w:szCs w:val="24"/>
              </w:rPr>
            </w:pPr>
            <w:r>
              <w:rPr>
                <w:rFonts w:hint="eastAsia" w:ascii="宋体" w:hAnsi="宋体" w:eastAsia="宋体" w:cs="宋体"/>
                <w:sz w:val="24"/>
                <w:szCs w:val="24"/>
              </w:rPr>
              <w:t>投标人应充分考虑银行信息交换时间，由此带来的保证金不能按时到帐的责任由投标人自行承担。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8"/>
              <w:spacing w:after="0" w:line="240" w:lineRule="auto"/>
              <w:ind w:left="0" w:leftChars="0" w:firstLine="480"/>
              <w:rPr>
                <w:rFonts w:hint="eastAsia" w:ascii="宋体" w:hAnsi="宋体" w:eastAsia="宋体" w:cs="宋体"/>
                <w:sz w:val="24"/>
                <w:szCs w:val="24"/>
              </w:rPr>
            </w:pPr>
            <w:r>
              <w:rPr>
                <w:rFonts w:hint="eastAsia" w:ascii="宋体" w:hAnsi="宋体" w:eastAsia="宋体" w:cs="宋体"/>
                <w:sz w:val="24"/>
                <w:szCs w:val="24"/>
              </w:rPr>
              <w:t>对于未中标的投标人，投标保证金将于招标人内部完成中标人评审并确认最终中标人后在30个工作日内予以原路返还（无息）；对于中标方，投标保证金将在签订合同后30个工作日内原路返还（无息）。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u w:val="single"/>
                <w:lang w:val="en-US" w:eastAsia="zh-CN"/>
              </w:rPr>
            </w:pPr>
            <w:r>
              <w:rPr>
                <w:rFonts w:hint="eastAsia" w:ascii="宋体" w:hAnsi="宋体" w:eastAsia="宋体" w:cs="宋体"/>
                <w:b/>
                <w:bCs/>
                <w:sz w:val="24"/>
                <w:szCs w:val="24"/>
              </w:rPr>
              <w:t>开标时间：</w:t>
            </w:r>
            <w:r>
              <w:rPr>
                <w:rFonts w:hint="eastAsia" w:ascii="宋体" w:hAnsi="宋体" w:eastAsia="宋体" w:cs="宋体"/>
                <w:b w:val="0"/>
                <w:bCs w:val="0"/>
                <w:sz w:val="24"/>
                <w:szCs w:val="24"/>
                <w:highlight w:val="yellow"/>
                <w:u w:val="single"/>
              </w:rPr>
              <w:t>2025年</w:t>
            </w:r>
            <w:r>
              <w:rPr>
                <w:rFonts w:hint="eastAsia" w:ascii="宋体" w:hAnsi="宋体" w:eastAsia="宋体" w:cs="宋体"/>
                <w:b w:val="0"/>
                <w:bCs w:val="0"/>
                <w:sz w:val="24"/>
                <w:szCs w:val="24"/>
                <w:highlight w:val="yellow"/>
                <w:u w:val="single"/>
                <w:lang w:val="en-US" w:eastAsia="zh-CN"/>
              </w:rPr>
              <w:t>10</w:t>
            </w:r>
            <w:r>
              <w:rPr>
                <w:rFonts w:hint="eastAsia" w:ascii="宋体" w:hAnsi="宋体" w:eastAsia="宋体" w:cs="宋体"/>
                <w:b w:val="0"/>
                <w:bCs w:val="0"/>
                <w:sz w:val="24"/>
                <w:szCs w:val="24"/>
                <w:highlight w:val="yellow"/>
                <w:u w:val="single"/>
              </w:rPr>
              <w:t>月</w:t>
            </w:r>
            <w:r>
              <w:rPr>
                <w:rFonts w:hint="eastAsia" w:ascii="宋体" w:hAnsi="宋体" w:eastAsia="宋体" w:cs="宋体"/>
                <w:b w:val="0"/>
                <w:bCs w:val="0"/>
                <w:sz w:val="24"/>
                <w:szCs w:val="24"/>
                <w:highlight w:val="yellow"/>
                <w:u w:val="single"/>
                <w:lang w:val="en-US" w:eastAsia="zh-CN"/>
              </w:rPr>
              <w:t>14</w:t>
            </w:r>
            <w:r>
              <w:rPr>
                <w:rFonts w:hint="eastAsia" w:ascii="宋体" w:hAnsi="宋体" w:eastAsia="宋体" w:cs="宋体"/>
                <w:b w:val="0"/>
                <w:bCs w:val="0"/>
                <w:sz w:val="24"/>
                <w:szCs w:val="24"/>
                <w:highlight w:val="yellow"/>
                <w:u w:val="single"/>
              </w:rPr>
              <w:t>日</w:t>
            </w:r>
            <w:r>
              <w:rPr>
                <w:rFonts w:hint="eastAsia" w:ascii="宋体" w:hAnsi="宋体" w:eastAsia="宋体" w:cs="宋体"/>
                <w:b w:val="0"/>
                <w:bCs w:val="0"/>
                <w:sz w:val="24"/>
                <w:szCs w:val="24"/>
                <w:highlight w:val="yellow"/>
                <w:u w:val="single"/>
                <w:lang w:val="en-US" w:eastAsia="zh-CN"/>
              </w:rPr>
              <w:t>9</w:t>
            </w:r>
            <w:r>
              <w:rPr>
                <w:rFonts w:hint="eastAsia" w:ascii="宋体" w:hAnsi="宋体" w:eastAsia="宋体" w:cs="宋体"/>
                <w:b w:val="0"/>
                <w:bCs w:val="0"/>
                <w:sz w:val="24"/>
                <w:szCs w:val="24"/>
                <w:highlight w:val="yellow"/>
                <w:u w:val="single"/>
              </w:rPr>
              <w:t>:00</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b/>
                <w:bCs/>
                <w:sz w:val="24"/>
                <w:szCs w:val="24"/>
                <w:lang w:val="en-US" w:eastAsia="zh-CN"/>
              </w:rPr>
              <w:t>重汽科技大厦三楼会议室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pStyle w:val="15"/>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评标方法：资质标审核→技术标评审→商务标评审。技术标入围后，采用综合评标法，得分=技术标*30%+商务标*70%</w:t>
            </w:r>
            <w:r>
              <w:rPr>
                <w:rFonts w:hint="eastAsia" w:ascii="宋体" w:hAnsi="宋体" w:eastAsia="宋体" w:cs="宋体"/>
                <w:b/>
                <w:bCs/>
                <w:sz w:val="24"/>
                <w:szCs w:val="24"/>
                <w:lang w:eastAsia="zh-CN"/>
              </w:rPr>
              <w:t>。</w:t>
            </w:r>
            <w:r>
              <w:rPr>
                <w:rFonts w:hint="eastAsia" w:ascii="宋体" w:hAnsi="宋体" w:eastAsia="宋体" w:cs="宋体"/>
                <w:sz w:val="24"/>
                <w:szCs w:val="24"/>
              </w:rPr>
              <w:t>具体详见“</w:t>
            </w:r>
            <w:r>
              <w:rPr>
                <w:rFonts w:hint="eastAsia" w:ascii="宋体" w:hAnsi="宋体" w:eastAsia="宋体" w:cs="宋体"/>
                <w:sz w:val="24"/>
                <w:szCs w:val="24"/>
                <w:highlight w:val="none"/>
              </w:rPr>
              <w:t>第二部分投标须知第六条：评标原则</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r>
              <w:rPr>
                <w:rFonts w:hint="eastAsia" w:ascii="宋体" w:hAnsi="宋体" w:eastAsia="宋体" w:cs="宋体"/>
                <w:sz w:val="24"/>
                <w:szCs w:val="24"/>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交货期：</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自合同签定生效之日起，</w:t>
            </w:r>
            <w:r>
              <w:rPr>
                <w:rFonts w:hint="eastAsia" w:ascii="宋体" w:hAnsi="宋体" w:eastAsia="宋体" w:cs="宋体"/>
                <w:color w:val="000000"/>
                <w:sz w:val="24"/>
                <w:szCs w:val="24"/>
                <w:highlight w:val="yellow"/>
                <w:u w:val="single"/>
                <w:lang w:val="en-US" w:eastAsia="zh-CN"/>
              </w:rPr>
              <w:t>9</w:t>
            </w:r>
            <w:r>
              <w:rPr>
                <w:rFonts w:hint="eastAsia" w:ascii="宋体" w:hAnsi="宋体" w:eastAsia="宋体" w:cs="宋体"/>
                <w:color w:val="000000"/>
                <w:sz w:val="24"/>
                <w:szCs w:val="24"/>
                <w:highlight w:val="yellow"/>
                <w:u w:val="single"/>
              </w:rPr>
              <w:t>0</w:t>
            </w:r>
            <w:r>
              <w:rPr>
                <w:rFonts w:hint="eastAsia" w:ascii="宋体" w:hAnsi="宋体" w:eastAsia="宋体" w:cs="宋体"/>
                <w:color w:val="000000"/>
                <w:sz w:val="24"/>
                <w:szCs w:val="24"/>
                <w:highlight w:val="yellow"/>
              </w:rPr>
              <w:t>个日历日</w:t>
            </w:r>
            <w:r>
              <w:rPr>
                <w:rFonts w:hint="eastAsia" w:ascii="宋体" w:hAnsi="宋体" w:eastAsia="宋体" w:cs="宋体"/>
                <w:color w:val="000000"/>
                <w:sz w:val="24"/>
                <w:szCs w:val="24"/>
              </w:rPr>
              <w:t>之内交货至供货地点。</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接续</w:t>
            </w:r>
            <w:r>
              <w:rPr>
                <w:rFonts w:hint="eastAsia" w:ascii="宋体" w:hAnsi="宋体" w:eastAsia="宋体" w:cs="宋体"/>
                <w:color w:val="000000"/>
                <w:sz w:val="24"/>
                <w:szCs w:val="24"/>
                <w:highlight w:val="yellow"/>
                <w:u w:val="single"/>
                <w:lang w:val="en-US" w:eastAsia="zh-CN"/>
              </w:rPr>
              <w:t>9</w:t>
            </w:r>
            <w:r>
              <w:rPr>
                <w:rFonts w:hint="eastAsia" w:ascii="宋体" w:hAnsi="宋体" w:eastAsia="宋体" w:cs="宋体"/>
                <w:color w:val="000000"/>
                <w:sz w:val="24"/>
                <w:szCs w:val="24"/>
                <w:highlight w:val="yellow"/>
                <w:u w:val="single"/>
              </w:rPr>
              <w:t>0</w:t>
            </w:r>
            <w:r>
              <w:rPr>
                <w:rFonts w:hint="eastAsia" w:ascii="宋体" w:hAnsi="宋体" w:eastAsia="宋体" w:cs="宋体"/>
                <w:color w:val="000000"/>
                <w:sz w:val="24"/>
                <w:szCs w:val="24"/>
                <w:highlight w:val="yellow"/>
              </w:rPr>
              <w:t>个日历日</w:t>
            </w:r>
            <w:r>
              <w:rPr>
                <w:rFonts w:hint="eastAsia" w:ascii="宋体" w:hAnsi="宋体" w:eastAsia="宋体" w:cs="宋体"/>
                <w:color w:val="000000"/>
                <w:sz w:val="24"/>
                <w:szCs w:val="24"/>
              </w:rPr>
              <w:t>之内安装调试完毕，并投入使用。</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接续</w:t>
            </w:r>
            <w:r>
              <w:rPr>
                <w:rFonts w:hint="eastAsia" w:ascii="宋体" w:hAnsi="宋体" w:eastAsia="宋体" w:cs="宋体"/>
                <w:color w:val="000000"/>
                <w:sz w:val="24"/>
                <w:szCs w:val="24"/>
                <w:highlight w:val="yellow"/>
                <w:u w:val="single"/>
                <w:lang w:val="en-US" w:eastAsia="zh-CN"/>
              </w:rPr>
              <w:t>3</w:t>
            </w:r>
            <w:r>
              <w:rPr>
                <w:rFonts w:hint="eastAsia" w:ascii="宋体" w:hAnsi="宋体" w:eastAsia="宋体" w:cs="宋体"/>
                <w:color w:val="000000"/>
                <w:sz w:val="24"/>
                <w:szCs w:val="24"/>
                <w:highlight w:val="yellow"/>
                <w:u w:val="single"/>
              </w:rPr>
              <w:t>0</w:t>
            </w:r>
            <w:r>
              <w:rPr>
                <w:rFonts w:hint="eastAsia" w:ascii="宋体" w:hAnsi="宋体" w:eastAsia="宋体" w:cs="宋体"/>
                <w:color w:val="000000"/>
                <w:sz w:val="24"/>
                <w:szCs w:val="24"/>
                <w:highlight w:val="yellow"/>
              </w:rPr>
              <w:t>个日历日</w:t>
            </w:r>
            <w:r>
              <w:rPr>
                <w:rFonts w:hint="eastAsia" w:ascii="宋体" w:hAnsi="宋体" w:eastAsia="宋体" w:cs="宋体"/>
                <w:color w:val="000000"/>
                <w:sz w:val="24"/>
                <w:szCs w:val="24"/>
              </w:rPr>
              <w:t>之内完成终验收。</w:t>
            </w:r>
          </w:p>
          <w:p>
            <w:pPr>
              <w:pStyle w:val="20"/>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安装调试工期超过</w:t>
            </w:r>
            <w:r>
              <w:rPr>
                <w:rFonts w:hint="eastAsia" w:ascii="宋体" w:hAnsi="宋体" w:eastAsia="宋体" w:cs="宋体"/>
                <w:color w:val="000000"/>
                <w:sz w:val="24"/>
                <w:szCs w:val="24"/>
                <w:highlight w:val="yellow"/>
                <w:u w:val="single"/>
              </w:rPr>
              <w:t>20个日历日</w:t>
            </w:r>
            <w:r>
              <w:rPr>
                <w:rFonts w:hint="eastAsia" w:ascii="宋体" w:hAnsi="宋体" w:eastAsia="宋体" w:cs="宋体"/>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交货方式：</w:t>
            </w:r>
            <w:r>
              <w:rPr>
                <w:rFonts w:hint="eastAsia" w:ascii="宋体" w:hAnsi="宋体" w:eastAsia="宋体" w:cs="宋体"/>
                <w:color w:val="000000"/>
                <w:sz w:val="24"/>
                <w:szCs w:val="24"/>
              </w:rPr>
              <w:t>交钥匙方式。</w:t>
            </w:r>
          </w:p>
          <w:p>
            <w:pPr>
              <w:pStyle w:val="20"/>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交货地点：</w:t>
            </w:r>
            <w:r>
              <w:rPr>
                <w:rFonts w:hint="eastAsia" w:ascii="宋体" w:hAnsi="宋体" w:eastAsia="宋体" w:cs="宋体"/>
                <w:color w:val="000000"/>
                <w:sz w:val="24"/>
                <w:szCs w:val="24"/>
              </w:rPr>
              <w:t>济南市高新区华奥路777号重汽科技园区营销中心3楼。</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5"/>
              <w:ind w:firstLine="482" w:firstLineChars="200"/>
              <w:rPr>
                <w:rFonts w:hint="eastAsia" w:ascii="宋体" w:hAnsi="宋体" w:eastAsia="宋体" w:cs="宋体"/>
                <w:sz w:val="24"/>
                <w:szCs w:val="24"/>
              </w:rPr>
            </w:pPr>
            <w:r>
              <w:rPr>
                <w:rFonts w:hint="eastAsia" w:ascii="宋体" w:hAnsi="宋体" w:eastAsia="宋体" w:cs="宋体"/>
                <w:b/>
                <w:sz w:val="24"/>
                <w:szCs w:val="24"/>
              </w:rPr>
              <w:t>质保期：自设备终验收文件最终签署之日起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38"/>
              <w:spacing w:after="0" w:line="240" w:lineRule="auto"/>
              <w:ind w:left="0" w:leftChars="0" w:firstLine="482"/>
              <w:rPr>
                <w:rFonts w:hint="eastAsia" w:ascii="宋体" w:hAnsi="宋体" w:eastAsia="宋体" w:cs="宋体"/>
                <w:sz w:val="24"/>
                <w:szCs w:val="24"/>
              </w:rPr>
            </w:pPr>
            <w:r>
              <w:rPr>
                <w:rFonts w:hint="eastAsia" w:ascii="宋体" w:hAnsi="宋体" w:eastAsia="宋体" w:cs="宋体"/>
                <w:b/>
                <w:bCs/>
                <w:sz w:val="24"/>
                <w:szCs w:val="24"/>
                <w:highlight w:val="yellow"/>
                <w:u w:val="single"/>
              </w:rPr>
              <w:t>Ⅰ.国内付款方式：半年期商业汇票（包括银行承兑汇票和商业承兑汇票）</w:t>
            </w:r>
          </w:p>
          <w:p>
            <w:pPr>
              <w:pStyle w:val="15"/>
              <w:ind w:firstLine="420" w:firstLineChars="200"/>
              <w:rPr>
                <w:rFonts w:hint="eastAsia" w:ascii="宋体" w:hAnsi="宋体" w:eastAsia="宋体" w:cs="宋体"/>
                <w:sz w:val="24"/>
                <w:szCs w:val="24"/>
              </w:rPr>
            </w:pPr>
            <w:r>
              <w:rPr>
                <w:rFonts w:hint="eastAsia" w:ascii="宋体" w:hAnsi="宋体" w:eastAsia="宋体" w:cs="宋体"/>
              </w:rPr>
              <w:t>（</w:t>
            </w:r>
            <w:r>
              <w:rPr>
                <w:rFonts w:hint="eastAsia" w:ascii="宋体" w:hAnsi="宋体" w:eastAsia="宋体" w:cs="宋体"/>
                <w:sz w:val="24"/>
                <w:szCs w:val="24"/>
              </w:rPr>
              <w:t>1）设备全部到货经检验无问题后，中标人提交金额为合同价款30%的收据并提供合同价款30%的增值税专用发票(含复印件二份)经招标人依照财务制度审核通过后【30】日支付;</w:t>
            </w:r>
          </w:p>
          <w:p>
            <w:pPr>
              <w:pStyle w:val="15"/>
              <w:ind w:firstLine="420" w:firstLineChars="200"/>
              <w:rPr>
                <w:rFonts w:hint="eastAsia" w:ascii="宋体" w:hAnsi="宋体" w:eastAsia="宋体" w:cs="宋体"/>
                <w:sz w:val="24"/>
                <w:szCs w:val="24"/>
              </w:rPr>
            </w:pPr>
            <w:r>
              <w:rPr>
                <w:rFonts w:hint="eastAsia" w:ascii="宋体" w:hAnsi="宋体" w:eastAsia="宋体" w:cs="宋体"/>
              </w:rPr>
              <w:t>（</w:t>
            </w:r>
            <w:r>
              <w:rPr>
                <w:rFonts w:hint="eastAsia" w:ascii="宋体" w:hAnsi="宋体" w:eastAsia="宋体" w:cs="宋体"/>
                <w:sz w:val="24"/>
                <w:szCs w:val="24"/>
                <w:lang w:val="en-US" w:eastAsia="zh-CN"/>
              </w:rPr>
              <w:t>2</w:t>
            </w:r>
            <w:r>
              <w:rPr>
                <w:rFonts w:hint="eastAsia" w:ascii="宋体" w:hAnsi="宋体" w:eastAsia="宋体" w:cs="宋体"/>
                <w:sz w:val="24"/>
                <w:szCs w:val="24"/>
              </w:rPr>
              <w:t>）设备终验收合格后，中标人提交金额为合同价款60%的收据并提供合同价款 70%的增值税专用发票(含复印件二份)，经招标人依照财务制度审核通过后【30】日支付;</w:t>
            </w:r>
          </w:p>
          <w:p>
            <w:pPr>
              <w:pStyle w:val="15"/>
              <w:ind w:firstLine="420" w:firstLineChars="200"/>
              <w:rPr>
                <w:rFonts w:hint="eastAsia" w:ascii="宋体" w:hAnsi="宋体" w:eastAsia="宋体" w:cs="宋体"/>
              </w:rPr>
            </w:pPr>
            <w:r>
              <w:rPr>
                <w:rFonts w:hint="eastAsia" w:ascii="宋体" w:hAnsi="宋体" w:eastAsia="宋体" w:cs="宋体"/>
              </w:rPr>
              <w:t>（</w:t>
            </w:r>
            <w:r>
              <w:rPr>
                <w:rFonts w:hint="eastAsia" w:ascii="宋体" w:hAnsi="宋体" w:eastAsia="宋体" w:cs="宋体"/>
                <w:sz w:val="24"/>
                <w:szCs w:val="24"/>
                <w:lang w:val="en-US" w:eastAsia="zh-CN"/>
              </w:rPr>
              <w:t>3</w:t>
            </w:r>
            <w:r>
              <w:rPr>
                <w:rFonts w:hint="eastAsia" w:ascii="宋体" w:hAnsi="宋体" w:eastAsia="宋体" w:cs="宋体"/>
                <w:sz w:val="24"/>
                <w:szCs w:val="24"/>
              </w:rPr>
              <w:t>）合同总价款的10%作为本合同约定设备的质量保证金，质量保证金在质量保证期内不计利息。质保期届满后支付。如有质量问题，质量保证金予以相应扣除。</w:t>
            </w:r>
          </w:p>
          <w:p>
            <w:pPr>
              <w:pStyle w:val="15"/>
              <w:ind w:firstLine="480" w:firstLineChars="200"/>
              <w:rPr>
                <w:rFonts w:hint="eastAsia" w:ascii="宋体" w:hAnsi="宋体" w:eastAsia="宋体" w:cs="宋体"/>
                <w:sz w:val="24"/>
                <w:szCs w:val="24"/>
              </w:rPr>
            </w:pPr>
            <w:r>
              <w:rPr>
                <w:rFonts w:hint="eastAsia" w:ascii="宋体" w:hAnsi="宋体" w:eastAsia="宋体" w:cs="宋体"/>
                <w:sz w:val="24"/>
                <w:szCs w:val="24"/>
                <w:highlight w:val="yellow"/>
                <w:lang w:val="en-US" w:eastAsia="zh-CN"/>
              </w:rPr>
              <w:t>*付款方式及付款比例不允许偏离。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增值税专用发票开票信息：</w:t>
            </w:r>
          </w:p>
          <w:p>
            <w:pPr>
              <w:ind w:firstLine="480" w:firstLineChars="200"/>
              <w:rPr>
                <w:rFonts w:hint="eastAsia" w:ascii="宋体" w:hAnsi="宋体" w:eastAsia="宋体" w:cs="宋体"/>
                <w:bCs/>
                <w:sz w:val="24"/>
                <w:szCs w:val="24"/>
              </w:rPr>
            </w:pPr>
            <w:r>
              <w:rPr>
                <w:rFonts w:hint="eastAsia" w:ascii="宋体" w:hAnsi="宋体" w:eastAsia="宋体" w:cs="宋体"/>
                <w:sz w:val="24"/>
                <w:szCs w:val="24"/>
                <w:lang w:bidi="ar"/>
              </w:rPr>
              <w:t>见最终合同签订信息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5"/>
              <w:jc w:val="center"/>
              <w:rPr>
                <w:rFonts w:hint="eastAsia"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5"/>
              <w:ind w:firstLine="480" w:firstLineChars="200"/>
              <w:rPr>
                <w:rFonts w:hint="eastAsia"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5"/>
              <w:ind w:firstLine="480" w:firstLineChars="200"/>
              <w:rPr>
                <w:rFonts w:hint="eastAsia" w:ascii="宋体" w:hAnsi="宋体" w:eastAsia="宋体" w:cs="宋体"/>
                <w:sz w:val="24"/>
                <w:szCs w:val="24"/>
              </w:rPr>
            </w:pPr>
            <w:r>
              <w:rPr>
                <w:rFonts w:hint="eastAsia" w:ascii="宋体" w:hAnsi="宋体" w:eastAsia="宋体" w:cs="宋体"/>
                <w:sz w:val="24"/>
                <w:szCs w:val="24"/>
              </w:rPr>
              <w:t>中标人应在合同签订后</w:t>
            </w:r>
            <w:r>
              <w:rPr>
                <w:rFonts w:hint="eastAsia" w:ascii="宋体" w:hAnsi="宋体" w:eastAsia="宋体" w:cs="宋体"/>
                <w:sz w:val="24"/>
                <w:szCs w:val="24"/>
                <w:highlight w:val="yellow"/>
              </w:rPr>
              <w:t>30日</w:t>
            </w:r>
            <w:r>
              <w:rPr>
                <w:rFonts w:hint="eastAsia" w:ascii="宋体" w:hAnsi="宋体" w:eastAsia="宋体" w:cs="宋体"/>
                <w:sz w:val="24"/>
                <w:szCs w:val="24"/>
              </w:rPr>
              <w:t>内需根据设计</w:t>
            </w:r>
            <w:r>
              <w:rPr>
                <w:rStyle w:val="45"/>
                <w:rFonts w:hint="eastAsia" w:ascii="宋体" w:hAnsi="宋体" w:eastAsia="宋体" w:cs="宋体"/>
                <w:sz w:val="24"/>
                <w:szCs w:val="24"/>
              </w:rPr>
              <w:t>提资</w:t>
            </w:r>
            <w:r>
              <w:rPr>
                <w:rFonts w:hint="eastAsia" w:ascii="宋体" w:hAnsi="宋体" w:eastAsia="宋体" w:cs="宋体"/>
                <w:sz w:val="24"/>
                <w:szCs w:val="24"/>
              </w:rPr>
              <w:t>要求提供详细的</w:t>
            </w:r>
            <w:r>
              <w:rPr>
                <w:rStyle w:val="45"/>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5"/>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5"/>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2"/>
    </w:tbl>
    <w:p>
      <w:pPr>
        <w:bidi w:val="0"/>
        <w:rPr>
          <w:rFonts w:hint="eastAsia" w:ascii="宋体" w:hAnsi="宋体" w:eastAsia="宋体" w:cs="宋体"/>
        </w:rPr>
        <w:sectPr>
          <w:headerReference r:id="rId7" w:type="default"/>
          <w:footerReference r:id="rId8" w:type="default"/>
          <w:pgSz w:w="11907" w:h="16840"/>
          <w:pgMar w:top="1304" w:right="1418" w:bottom="1304" w:left="1418" w:header="724" w:footer="851" w:gutter="0"/>
          <w:pgNumType w:start="7"/>
          <w:cols w:space="720" w:num="1"/>
          <w:docGrid w:linePitch="290" w:charSpace="-3931"/>
        </w:sectPr>
      </w:pPr>
      <w:bookmarkStart w:id="3" w:name="_Toc15609"/>
    </w:p>
    <w:p>
      <w:pPr>
        <w:pStyle w:val="20"/>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3"/>
    </w:p>
    <w:p>
      <w:pPr>
        <w:keepNext/>
        <w:keepLines/>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一、项目名称</w:t>
      </w:r>
    </w:p>
    <w:p>
      <w:pPr>
        <w:spacing w:line="360" w:lineRule="auto"/>
        <w:ind w:left="1679" w:leftChars="228" w:hanging="1200" w:hangingChars="500"/>
        <w:rPr>
          <w:rFonts w:ascii="Calibri" w:hAnsi="Calibri" w:eastAsia="宋体" w:cs="Times New Roman"/>
          <w:color w:val="000000"/>
          <w:sz w:val="24"/>
          <w:szCs w:val="24"/>
          <w:u w:val="single"/>
        </w:rPr>
      </w:pPr>
      <w:r>
        <w:rPr>
          <w:rFonts w:hint="eastAsia" w:ascii="Calibri" w:hAnsi="Calibri" w:eastAsia="宋体" w:cs="Times New Roman"/>
          <w:color w:val="000000"/>
          <w:sz w:val="24"/>
          <w:szCs w:val="24"/>
        </w:rPr>
        <w:t>项目名称：</w:t>
      </w:r>
      <w:bookmarkStart w:id="4" w:name="OLE_LINK1"/>
      <w:r>
        <w:rPr>
          <w:rFonts w:hint="eastAsia" w:ascii="宋体" w:hAnsi="宋体" w:eastAsia="宋体" w:cs="Times New Roman"/>
          <w:color w:val="000000"/>
          <w:sz w:val="24"/>
          <w:szCs w:val="24"/>
        </w:rPr>
        <w:t>见《投标须知前附表》。</w:t>
      </w:r>
    </w:p>
    <w:bookmarkEnd w:id="4"/>
    <w:p>
      <w:pPr>
        <w:keepNext/>
        <w:keepLines/>
        <w:numPr>
          <w:ilvl w:val="0"/>
          <w:numId w:val="7"/>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招标内容及形式</w:t>
      </w:r>
    </w:p>
    <w:p>
      <w:pPr>
        <w:pStyle w:val="20"/>
        <w:spacing w:line="360" w:lineRule="auto"/>
        <w:ind w:firstLine="480" w:firstLineChars="200"/>
      </w:pPr>
      <w:r>
        <w:rPr>
          <w:rFonts w:hint="eastAsia" w:hAnsi="宋体" w:eastAsia="宋体" w:cs="Times New Roman"/>
          <w:color w:val="000000"/>
          <w:sz w:val="24"/>
          <w:szCs w:val="24"/>
        </w:rPr>
        <w:t>见《投标须知前附表》。</w:t>
      </w:r>
    </w:p>
    <w:p>
      <w:pPr>
        <w:spacing w:line="360" w:lineRule="auto"/>
        <w:ind w:firstLine="482" w:firstLineChars="200"/>
        <w:rPr>
          <w:rFonts w:ascii="宋体" w:hAnsi="Courier New" w:eastAsia="宋体" w:cs="Times New Roman"/>
          <w:color w:val="000000"/>
          <w:sz w:val="24"/>
          <w:szCs w:val="24"/>
        </w:rPr>
      </w:pPr>
      <w:r>
        <w:rPr>
          <w:rFonts w:hint="eastAsia" w:ascii="宋体" w:hAnsi="Courier New" w:eastAsia="宋体" w:cs="Times New Roman"/>
          <w:b/>
          <w:color w:val="000000"/>
          <w:sz w:val="24"/>
          <w:szCs w:val="24"/>
        </w:rPr>
        <w:t>对于本项目需着重介绍的注意事项已通过以下带颜色文档进行标记。</w:t>
      </w:r>
    </w:p>
    <w:p>
      <w:pPr>
        <w:spacing w:line="360" w:lineRule="auto"/>
        <w:ind w:firstLine="482" w:firstLineChars="200"/>
        <w:rPr>
          <w:rFonts w:ascii="宋体" w:hAnsi="Courier New" w:eastAsia="宋体" w:cs="Times New Roman"/>
          <w:b/>
          <w:color w:val="000000"/>
          <w:sz w:val="24"/>
          <w:szCs w:val="24"/>
        </w:rPr>
      </w:pPr>
      <w:r>
        <w:rPr>
          <w:rFonts w:hint="eastAsia" w:ascii="宋体" w:hAnsi="Courier New" w:eastAsia="宋体" w:cs="Times New Roman"/>
          <w:b/>
          <w:color w:val="000000"/>
          <w:sz w:val="24"/>
          <w:szCs w:val="24"/>
        </w:rPr>
        <w:t>具体要求详见《技术标书》。</w:t>
      </w:r>
    </w:p>
    <w:p>
      <w:pPr>
        <w:keepNext/>
        <w:keepLines/>
        <w:numPr>
          <w:ilvl w:val="0"/>
          <w:numId w:val="7"/>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交货及付款</w:t>
      </w:r>
      <w:r>
        <w:rPr>
          <w:rFonts w:ascii="Arial" w:hAnsi="Arial" w:eastAsia="宋体" w:cs="Times New Roman"/>
          <w:b/>
          <w:bCs/>
          <w:sz w:val="28"/>
          <w:szCs w:val="36"/>
        </w:rPr>
        <w:tab/>
      </w:r>
    </w:p>
    <w:p>
      <w:pPr>
        <w:pStyle w:val="20"/>
        <w:ind w:firstLine="480" w:firstLineChars="200"/>
      </w:pPr>
      <w:r>
        <w:rPr>
          <w:rFonts w:hint="eastAsia" w:eastAsia="宋体" w:cs="Times New Roman"/>
          <w:color w:val="000000"/>
          <w:sz w:val="24"/>
          <w:szCs w:val="24"/>
        </w:rPr>
        <w:t>交货期、交货地点、交货方式、付款方式及比例</w:t>
      </w:r>
      <w:r>
        <w:rPr>
          <w:rFonts w:hint="eastAsia" w:hAnsi="宋体" w:eastAsia="宋体" w:cs="Times New Roman"/>
          <w:color w:val="000000"/>
          <w:sz w:val="24"/>
          <w:szCs w:val="24"/>
        </w:rPr>
        <w:t>见《投标须知前附表》第7条。</w:t>
      </w:r>
    </w:p>
    <w:p>
      <w:pPr>
        <w:keepNext/>
        <w:keepLines/>
        <w:outlineLvl w:val="1"/>
        <w:rPr>
          <w:rFonts w:ascii="Arial" w:hAnsi="Arial" w:eastAsia="宋体" w:cs="Times New Roman"/>
          <w:b/>
          <w:bCs/>
          <w:sz w:val="28"/>
          <w:szCs w:val="36"/>
        </w:rPr>
      </w:pPr>
      <w:r>
        <w:rPr>
          <w:rFonts w:hint="eastAsia" w:ascii="Arial" w:hAnsi="Arial" w:eastAsia="宋体" w:cs="Times New Roman"/>
          <w:b/>
          <w:bCs/>
          <w:sz w:val="28"/>
          <w:szCs w:val="36"/>
        </w:rPr>
        <w:t>四、投标说明</w:t>
      </w: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1.报名方式</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投标人根据招标人在中国重汽官网等公开媒体上发布的招标信息，在“中国重汽e采通”平台报名。按照中国重汽e采通“SRM非生产供应商注册手册（附件15）”进行注册，进入“供应商应标”，选择对应的项目，点击“应标”后按照招标文件第三部分投标文件组成资格证明文件中的1.1-1.12准备资料并上传，资质审查通过即为报名成功，公示期间请尽快报名。</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投标保证金缴纳时，</w:t>
      </w:r>
      <w:r>
        <w:rPr>
          <w:rFonts w:hint="eastAsia" w:ascii="宋体" w:hAnsi="Courier New" w:eastAsia="宋体" w:cs="Times New Roman"/>
          <w:b/>
          <w:bCs/>
          <w:color w:val="000000"/>
          <w:sz w:val="24"/>
          <w:szCs w:val="24"/>
        </w:rPr>
        <w:t>务必备注所投标的项目名称</w:t>
      </w:r>
      <w:r>
        <w:rPr>
          <w:rFonts w:hint="eastAsia" w:ascii="宋体" w:hAnsi="Courier New" w:eastAsia="宋体" w:cs="Times New Roman"/>
          <w:color w:val="000000"/>
          <w:sz w:val="24"/>
          <w:szCs w:val="24"/>
        </w:rPr>
        <w:t>。</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不按要求报名的，或因未提供相关信息导致后期无法退回保证金的，需投标人承担责任。</w:t>
      </w:r>
    </w:p>
    <w:p>
      <w:pPr>
        <w:pStyle w:val="20"/>
        <w:numPr>
          <w:ilvl w:val="0"/>
          <w:numId w:val="8"/>
        </w:numPr>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投标条件</w:t>
      </w:r>
    </w:p>
    <w:p>
      <w:pPr>
        <w:pStyle w:val="20"/>
        <w:ind w:firstLine="480"/>
        <w:rPr>
          <w:rFonts w:hAnsi="宋体" w:cs="宋体"/>
          <w:b/>
          <w:color w:val="000000"/>
          <w:sz w:val="24"/>
          <w:szCs w:val="24"/>
          <w:highlight w:val="yellow"/>
        </w:rPr>
      </w:pPr>
      <w:r>
        <w:rPr>
          <w:rFonts w:hint="eastAsia" w:eastAsia="宋体" w:cs="Times New Roman"/>
          <w:b/>
          <w:bCs/>
          <w:color w:val="000000"/>
          <w:sz w:val="24"/>
          <w:szCs w:val="24"/>
          <w:highlight w:val="yellow"/>
        </w:rPr>
        <w:t>对于中国境内投标人，投标条件详见招标文件“第一部分投标须知前附表1.6”。</w:t>
      </w:r>
    </w:p>
    <w:p>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3.报价</w:t>
      </w:r>
    </w:p>
    <w:p>
      <w:pPr>
        <w:pStyle w:val="20"/>
        <w:spacing w:line="360" w:lineRule="auto"/>
        <w:ind w:firstLine="480" w:firstLineChars="200"/>
        <w:rPr>
          <w:rFonts w:hAnsi="宋体" w:eastAsia="宋体" w:cs="Times New Roman"/>
          <w:color w:val="000000"/>
          <w:sz w:val="24"/>
          <w:szCs w:val="24"/>
        </w:rPr>
      </w:pPr>
      <w:r>
        <w:rPr>
          <w:rFonts w:hint="eastAsia" w:hAnsi="宋体" w:eastAsia="宋体" w:cs="Times New Roman"/>
          <w:color w:val="000000"/>
          <w:sz w:val="24"/>
          <w:szCs w:val="24"/>
        </w:rPr>
        <w:t>3.1</w:t>
      </w:r>
      <w:r>
        <w:rPr>
          <w:rFonts w:hint="eastAsia" w:hAnsi="宋体" w:eastAsia="宋体" w:cs="Times New Roman"/>
          <w:sz w:val="24"/>
          <w:szCs w:val="24"/>
        </w:rPr>
        <w:t>本次招投标为</w:t>
      </w:r>
      <w:r>
        <w:rPr>
          <w:rFonts w:hint="eastAsia" w:eastAsia="宋体" w:cs="Times New Roman"/>
          <w:color w:val="000000"/>
          <w:sz w:val="24"/>
          <w:szCs w:val="24"/>
          <w:highlight w:val="yellow"/>
          <w:lang w:val="en-US" w:eastAsia="zh-CN"/>
        </w:rPr>
        <w:t>公开招标</w:t>
      </w:r>
      <w:r>
        <w:rPr>
          <w:rFonts w:hint="eastAsia" w:hAnsi="宋体" w:eastAsia="宋体" w:cs="Times New Roman"/>
          <w:b/>
          <w:sz w:val="24"/>
          <w:szCs w:val="24"/>
        </w:rPr>
        <w:t>；</w:t>
      </w:r>
      <w:r>
        <w:rPr>
          <w:rFonts w:hint="eastAsia" w:hAnsi="宋体" w:eastAsia="宋体" w:cs="Times New Roman"/>
          <w:color w:val="000000"/>
          <w:sz w:val="24"/>
          <w:szCs w:val="24"/>
        </w:rPr>
        <w:t>评标流程以及规则详见本部分第六条评标原则。</w:t>
      </w:r>
    </w:p>
    <w:p>
      <w:pPr>
        <w:spacing w:line="360" w:lineRule="auto"/>
        <w:ind w:firstLine="235" w:firstLineChars="98"/>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3.2</w:t>
      </w:r>
      <w:r>
        <w:rPr>
          <w:rFonts w:hint="eastAsia" w:ascii="宋体" w:hAnsi="宋体" w:eastAsia="宋体" w:cs="Times New Roman"/>
          <w:b/>
          <w:bCs/>
          <w:color w:val="000000"/>
          <w:sz w:val="24"/>
          <w:szCs w:val="24"/>
          <w:highlight w:val="yellow"/>
        </w:rPr>
        <w:t>所有设备的报价货币单位为：</w:t>
      </w:r>
      <w:r>
        <w:rPr>
          <w:rFonts w:hint="eastAsia" w:ascii="宋体" w:hAnsi="宋体" w:eastAsia="宋体" w:cs="Times New Roman"/>
          <w:b/>
          <w:bCs/>
          <w:color w:val="000000"/>
          <w:sz w:val="24"/>
          <w:szCs w:val="24"/>
          <w:highlight w:val="yellow"/>
          <w:u w:val="single"/>
        </w:rPr>
        <w:t xml:space="preserve">         </w:t>
      </w:r>
      <w:r>
        <w:rPr>
          <w:rFonts w:hint="eastAsia" w:ascii="宋体" w:hAnsi="宋体" w:eastAsia="宋体" w:cs="Times New Roman"/>
          <w:b/>
          <w:bCs/>
          <w:color w:val="000000"/>
          <w:sz w:val="24"/>
          <w:szCs w:val="24"/>
          <w:highlight w:val="yellow"/>
        </w:rPr>
        <w:t>元【人民币（应同时报含税价和不含税价并写明税率）】。</w:t>
      </w:r>
    </w:p>
    <w:p>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4.设备要求：</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4.1投标设备技术参数和总体要求按《技术标书》执行；</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4.2设备制造完毕经出厂检验合格后方能发货；</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4.3设备包装按国家或部颁标准执行；</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4.4设备交货要求直接发货至合同指定地点，否则买方有权拒绝接受货物；</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4.5投标人按技术规范书提报设备详细技术资料；</w:t>
      </w:r>
    </w:p>
    <w:p>
      <w:pPr>
        <w:pStyle w:val="20"/>
        <w:spacing w:line="360" w:lineRule="auto"/>
        <w:ind w:firstLine="480" w:firstLineChars="200"/>
        <w:rPr>
          <w:rFonts w:hAnsi="宋体" w:eastAsia="宋体"/>
          <w:color w:val="000000"/>
          <w:sz w:val="24"/>
          <w:szCs w:val="24"/>
        </w:rPr>
      </w:pPr>
      <w:r>
        <w:rPr>
          <w:rFonts w:hint="eastAsia" w:hAnsi="宋体" w:eastAsia="宋体"/>
          <w:color w:val="000000"/>
          <w:sz w:val="24"/>
          <w:szCs w:val="24"/>
        </w:rPr>
        <w:t>4.6</w:t>
      </w:r>
      <w:r>
        <w:rPr>
          <w:rFonts w:hAnsi="宋体" w:eastAsia="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hint="eastAsia" w:hAnsi="宋体" w:eastAsia="宋体"/>
          <w:color w:val="000000"/>
          <w:sz w:val="24"/>
          <w:szCs w:val="24"/>
        </w:rPr>
        <w:t>；</w:t>
      </w:r>
    </w:p>
    <w:p>
      <w:pPr>
        <w:pStyle w:val="20"/>
        <w:spacing w:line="360" w:lineRule="auto"/>
        <w:ind w:firstLine="480" w:firstLineChars="200"/>
        <w:rPr>
          <w:rFonts w:hAnsi="宋体" w:eastAsia="宋体"/>
          <w:color w:val="000000"/>
          <w:sz w:val="24"/>
          <w:szCs w:val="24"/>
        </w:rPr>
      </w:pPr>
      <w:r>
        <w:rPr>
          <w:rFonts w:hint="eastAsia" w:hAnsi="宋体" w:eastAsia="宋体"/>
          <w:color w:val="000000"/>
          <w:sz w:val="24"/>
          <w:szCs w:val="24"/>
        </w:rPr>
        <w:t>4.7</w:t>
      </w:r>
      <w:r>
        <w:rPr>
          <w:rFonts w:hAnsi="宋体" w:eastAsia="宋体"/>
          <w:color w:val="000000"/>
          <w:sz w:val="24"/>
          <w:szCs w:val="24"/>
        </w:rPr>
        <w:t>设备设施颜色严格执行我公司企业标准《设备设施颜色标识》（Q/ZZ30070</w:t>
      </w:r>
    </w:p>
    <w:p>
      <w:pPr>
        <w:pStyle w:val="20"/>
        <w:spacing w:line="360" w:lineRule="auto"/>
        <w:rPr>
          <w:rFonts w:hAnsi="宋体" w:eastAsia="宋体"/>
          <w:color w:val="000000"/>
          <w:sz w:val="24"/>
          <w:szCs w:val="24"/>
        </w:rPr>
      </w:pPr>
      <w:r>
        <w:rPr>
          <w:rFonts w:hAnsi="宋体" w:eastAsia="宋体"/>
          <w:color w:val="000000"/>
          <w:sz w:val="24"/>
          <w:szCs w:val="24"/>
        </w:rPr>
        <w:t>—2020）。</w:t>
      </w:r>
    </w:p>
    <w:p>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5.其他要求</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包装、运输、检验、交付、安装、调试、培训、结算、质保及售后服务等，按《技术标书》要求，在标书中列示说明，最终以合同约定为准。</w:t>
      </w: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6.询标</w:t>
      </w:r>
    </w:p>
    <w:p>
      <w:pPr>
        <w:keepNext/>
        <w:keepLines/>
        <w:spacing w:line="420" w:lineRule="exact"/>
        <w:ind w:firstLine="480" w:firstLineChars="200"/>
        <w:rPr>
          <w:rFonts w:ascii="Times New Roman" w:hAnsi="Times New Roman" w:eastAsia="宋体" w:cs="Times New Roman"/>
          <w:b/>
          <w:bCs/>
          <w:color w:val="000000"/>
          <w:sz w:val="24"/>
          <w:szCs w:val="24"/>
        </w:rPr>
      </w:pPr>
      <w:r>
        <w:rPr>
          <w:rFonts w:hint="eastAsia" w:ascii="宋体" w:hAnsi="宋体" w:eastAsia="宋体" w:cs="Times New Roman"/>
          <w:color w:val="000000"/>
          <w:sz w:val="24"/>
          <w:szCs w:val="24"/>
        </w:rPr>
        <w:t>凡对本次招标提出的询问，均以招标人的书面答复为准。</w:t>
      </w:r>
    </w:p>
    <w:p>
      <w:pPr>
        <w:keepNext/>
        <w:keepLines/>
        <w:spacing w:line="420" w:lineRule="exact"/>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五、议程安排</w:t>
      </w:r>
    </w:p>
    <w:p>
      <w:pPr>
        <w:keepNext/>
        <w:keepLines/>
        <w:spacing w:line="420" w:lineRule="exact"/>
        <w:ind w:firstLine="482" w:firstLineChars="200"/>
        <w:outlineLvl w:val="2"/>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1</w:t>
      </w:r>
      <w:r>
        <w:rPr>
          <w:rFonts w:hint="eastAsia" w:ascii="Times New Roman" w:hAnsi="Times New Roman" w:eastAsia="宋体" w:cs="Times New Roman"/>
          <w:b/>
          <w:bCs/>
          <w:color w:val="000000"/>
          <w:sz w:val="24"/>
          <w:szCs w:val="24"/>
        </w:rPr>
        <w:t>.发标时间</w:t>
      </w:r>
    </w:p>
    <w:p>
      <w:pPr>
        <w:spacing w:line="420" w:lineRule="exact"/>
        <w:ind w:firstLine="480" w:firstLineChars="200"/>
        <w:rPr>
          <w:rFonts w:ascii="宋体" w:hAnsi="宋体" w:eastAsia="宋体" w:cs="Times New Roman"/>
          <w:color w:val="000000"/>
          <w:sz w:val="24"/>
          <w:szCs w:val="24"/>
          <w:highlight w:val="yellow"/>
        </w:rPr>
      </w:pPr>
      <w:r>
        <w:rPr>
          <w:rFonts w:hint="eastAsia" w:ascii="宋体" w:hAnsi="宋体" w:eastAsia="宋体" w:cs="Times New Roman"/>
          <w:color w:val="000000"/>
          <w:sz w:val="24"/>
          <w:szCs w:val="24"/>
          <w:highlight w:val="yellow"/>
        </w:rPr>
        <w:t>见《投标须知前附表》2.1。</w:t>
      </w:r>
    </w:p>
    <w:p>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2.发标方式</w:t>
      </w:r>
    </w:p>
    <w:p>
      <w:pPr>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中国重汽官网→快讯中心→通知公告栏公布。</w:t>
      </w:r>
    </w:p>
    <w:p>
      <w:pPr>
        <w:keepNext/>
        <w:keepLines/>
        <w:spacing w:line="420" w:lineRule="exact"/>
        <w:ind w:firstLine="482" w:firstLineChars="200"/>
        <w:outlineLvl w:val="2"/>
        <w:rPr>
          <w:rFonts w:ascii="宋体" w:hAnsi="Times New Roman" w:eastAsia="宋体" w:cs="Times New Roman"/>
          <w:b/>
          <w:bCs/>
          <w:color w:val="000000"/>
          <w:sz w:val="24"/>
          <w:szCs w:val="24"/>
        </w:rPr>
      </w:pPr>
      <w:r>
        <w:rPr>
          <w:rFonts w:hint="eastAsia" w:ascii="宋体" w:hAnsi="宋体" w:eastAsia="宋体" w:cs="Times New Roman"/>
          <w:b/>
          <w:bCs/>
          <w:color w:val="000000"/>
          <w:sz w:val="24"/>
          <w:szCs w:val="24"/>
        </w:rPr>
        <w:t>3.答疑</w:t>
      </w:r>
    </w:p>
    <w:p>
      <w:pPr>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见《投标须知前附表》第二条，逾期不受理。</w:t>
      </w:r>
    </w:p>
    <w:p>
      <w:pPr>
        <w:keepNext/>
        <w:keepLines/>
        <w:spacing w:line="420" w:lineRule="exact"/>
        <w:ind w:firstLine="482" w:firstLineChars="200"/>
        <w:outlineLvl w:val="2"/>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4.投标报名</w:t>
      </w:r>
    </w:p>
    <w:p>
      <w:pPr>
        <w:keepNext/>
        <w:keepLines/>
        <w:spacing w:line="420" w:lineRule="exact"/>
        <w:ind w:firstLine="482"/>
        <w:rPr>
          <w:rFonts w:eastAsia="宋体" w:cs="Times New Roman"/>
          <w:sz w:val="24"/>
          <w:szCs w:val="24"/>
        </w:rPr>
      </w:pPr>
      <w:r>
        <w:rPr>
          <w:rFonts w:hint="eastAsia" w:hAnsi="Courier New" w:eastAsia="宋体" w:cs="Times New Roman"/>
          <w:sz w:val="24"/>
          <w:szCs w:val="24"/>
        </w:rPr>
        <w:t>4.1</w:t>
      </w:r>
      <w:r>
        <w:rPr>
          <w:rFonts w:hint="eastAsia" w:eastAsia="宋体" w:cs="Times New Roman"/>
          <w:sz w:val="24"/>
          <w:szCs w:val="24"/>
        </w:rPr>
        <w:t>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eastAsia="宋体" w:cs="Times New Roman"/>
          <w:sz w:val="24"/>
          <w:szCs w:val="24"/>
          <w:highlight w:val="yellow"/>
        </w:rPr>
        <w:t>（保证金具体金额及缴纳截止时间见《投标须知前附表》4.3）。</w:t>
      </w:r>
    </w:p>
    <w:p>
      <w:pPr>
        <w:pStyle w:val="115"/>
        <w:ind w:firstLine="480"/>
        <w:rPr>
          <w:rFonts w:eastAsia="宋体" w:cs="Times New Roman"/>
          <w:highlight w:val="green"/>
        </w:rPr>
      </w:pPr>
      <w:r>
        <w:rPr>
          <w:rFonts w:hint="eastAsia" w:eastAsia="宋体" w:cs="Times New Roman"/>
          <w:highlight w:val="yellow"/>
        </w:rPr>
        <w:t>4.2招标人银行账户信息如下：</w:t>
      </w:r>
      <w:r>
        <w:rPr>
          <w:rFonts w:hint="eastAsia" w:eastAsia="宋体" w:cs="宋体"/>
        </w:rPr>
        <w:t>见《投标须知前附表》4.2</w:t>
      </w:r>
    </w:p>
    <w:p>
      <w:pPr>
        <w:pStyle w:val="115"/>
        <w:ind w:firstLine="480"/>
        <w:rPr>
          <w:rFonts w:eastAsia="宋体" w:cs="Times New Roman"/>
        </w:rPr>
      </w:pPr>
      <w:r>
        <w:rPr>
          <w:rFonts w:hint="eastAsia" w:eastAsia="宋体" w:cs="Times New Roman"/>
        </w:rPr>
        <w:t>转账附言：公司名称+项目名称+投标保证金；</w:t>
      </w:r>
    </w:p>
    <w:p>
      <w:pPr>
        <w:pStyle w:val="115"/>
        <w:ind w:firstLine="480"/>
        <w:rPr>
          <w:rFonts w:eastAsia="宋体" w:cs="Times New Roman"/>
        </w:rPr>
      </w:pPr>
      <w:r>
        <w:rPr>
          <w:rFonts w:hint="eastAsia" w:eastAsia="宋体" w:cs="Times New Roman"/>
        </w:rPr>
        <w:t>对于没有中标的投标单位，投标保证金将于招标人内部完成中标人评审并确认最终中标人后在30工作日内予以原路返还（无息）；对于中标方，投标保证金将在签订合同后30工作日内返还。</w:t>
      </w:r>
    </w:p>
    <w:p>
      <w:pPr>
        <w:pStyle w:val="115"/>
        <w:ind w:firstLine="480"/>
        <w:rPr>
          <w:rFonts w:eastAsia="宋体" w:cs="Times New Roman"/>
        </w:rPr>
      </w:pPr>
      <w:r>
        <w:rPr>
          <w:rFonts w:hint="eastAsia" w:eastAsia="宋体" w:cs="Times New Roman"/>
        </w:rPr>
        <w:t>4.3说明</w:t>
      </w:r>
    </w:p>
    <w:p>
      <w:pPr>
        <w:pStyle w:val="115"/>
        <w:ind w:firstLine="480"/>
        <w:rPr>
          <w:rFonts w:eastAsia="宋体" w:cs="Times New Roman"/>
        </w:rPr>
      </w:pPr>
      <w:r>
        <w:rPr>
          <w:rFonts w:hint="eastAsia" w:eastAsia="宋体" w:cs="Times New Roman"/>
        </w:rPr>
        <w:t>4.3.1 投标人在向招标人出示《投标保证金缴纳凭证》后方可进行投标；</w:t>
      </w:r>
    </w:p>
    <w:p>
      <w:pPr>
        <w:pStyle w:val="115"/>
        <w:ind w:firstLine="480"/>
        <w:rPr>
          <w:rFonts w:eastAsia="宋体" w:cs="Times New Roman"/>
        </w:rPr>
      </w:pPr>
      <w:r>
        <w:rPr>
          <w:rFonts w:hint="eastAsia" w:eastAsia="宋体" w:cs="Times New Roman"/>
        </w:rPr>
        <w:t>4.3.2 发生以下情况时，招标人有权没收保证金：</w:t>
      </w:r>
    </w:p>
    <w:p>
      <w:pPr>
        <w:pStyle w:val="115"/>
        <w:ind w:firstLine="480"/>
        <w:rPr>
          <w:rFonts w:eastAsia="宋体" w:cs="Times New Roman"/>
        </w:rPr>
      </w:pPr>
      <w:r>
        <w:rPr>
          <w:rFonts w:hint="eastAsia" w:eastAsia="宋体" w:cs="Times New Roman"/>
        </w:rPr>
        <w:t>4.3.2.1 截至开标前3天，投标人无正当理由且未以书面形式递交说明而在投标截止日不来投标的；</w:t>
      </w:r>
    </w:p>
    <w:p>
      <w:pPr>
        <w:pStyle w:val="115"/>
        <w:ind w:firstLine="480"/>
        <w:rPr>
          <w:rFonts w:eastAsia="宋体" w:cs="Times New Roman"/>
        </w:rPr>
      </w:pPr>
      <w:r>
        <w:rPr>
          <w:rFonts w:hint="eastAsia" w:eastAsia="宋体" w:cs="Times New Roman"/>
        </w:rPr>
        <w:t>4.3.2.2 投标人递送投标文件后，无正当理由放弃投标的；</w:t>
      </w:r>
    </w:p>
    <w:p>
      <w:pPr>
        <w:pStyle w:val="115"/>
        <w:ind w:firstLine="480"/>
        <w:rPr>
          <w:rFonts w:eastAsia="宋体" w:cs="Times New Roman"/>
        </w:rPr>
      </w:pPr>
      <w:r>
        <w:rPr>
          <w:rFonts w:hint="eastAsia" w:eastAsia="宋体" w:cs="Times New Roman"/>
        </w:rPr>
        <w:t>4.3.2.3若为视频开标，招标过程中澄清函等资料原件未按要求提交的；</w:t>
      </w:r>
    </w:p>
    <w:p>
      <w:pPr>
        <w:pStyle w:val="115"/>
        <w:ind w:firstLine="480"/>
        <w:rPr>
          <w:rFonts w:eastAsia="宋体" w:cs="Times New Roman"/>
        </w:rPr>
      </w:pPr>
      <w:r>
        <w:rPr>
          <w:rFonts w:hint="eastAsia" w:eastAsia="宋体" w:cs="Times New Roman"/>
        </w:rPr>
        <w:t>4.3.2.4自中标通知书发出之日起30日内，中标人无正当理由不签订合同的；</w:t>
      </w:r>
    </w:p>
    <w:p>
      <w:pPr>
        <w:pStyle w:val="115"/>
        <w:ind w:firstLine="480"/>
        <w:rPr>
          <w:rFonts w:eastAsia="宋体" w:cs="Times New Roman"/>
        </w:rPr>
      </w:pPr>
      <w:r>
        <w:rPr>
          <w:rFonts w:hint="eastAsia" w:eastAsia="宋体" w:cs="Times New Roman"/>
        </w:rPr>
        <w:t>4.3.2.5投标人在投标过程中被查实有串标、围标、陪标等违规违纪行为的；</w:t>
      </w:r>
    </w:p>
    <w:p>
      <w:pPr>
        <w:spacing w:line="360" w:lineRule="auto"/>
        <w:ind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4.3.2.6投标人有违约违规行为或被投诉、举报的，在调查处理期间，保证金暂不退还，待调查处理结束后按有关规定处理。</w:t>
      </w:r>
    </w:p>
    <w:p>
      <w:pPr>
        <w:pStyle w:val="115"/>
        <w:ind w:firstLine="480"/>
        <w:rPr>
          <w:rFonts w:eastAsia="宋体" w:cs="Times New Roman"/>
        </w:rPr>
      </w:pPr>
      <w:r>
        <w:rPr>
          <w:rFonts w:hint="eastAsia" w:eastAsia="宋体" w:cs="Times New Roman"/>
        </w:rPr>
        <w:t>4.4投标报名截止时间</w:t>
      </w:r>
    </w:p>
    <w:p>
      <w:pPr>
        <w:pStyle w:val="115"/>
        <w:ind w:firstLine="480"/>
        <w:rPr>
          <w:rFonts w:eastAsia="宋体" w:cs="Times New Roman"/>
        </w:rPr>
      </w:pPr>
      <w:r>
        <w:rPr>
          <w:rFonts w:hint="eastAsia" w:eastAsia="宋体" w:cs="Times New Roman"/>
        </w:rPr>
        <w:t>报名方式：</w:t>
      </w:r>
      <w:r>
        <w:rPr>
          <w:rFonts w:hint="eastAsia" w:eastAsia="宋体" w:cs="Times New Roman"/>
          <w:highlight w:val="yellow"/>
        </w:rPr>
        <w:t>见《投标须知前附表》2.3。</w:t>
      </w:r>
    </w:p>
    <w:p>
      <w:pPr>
        <w:pStyle w:val="115"/>
        <w:ind w:firstLine="480"/>
        <w:rPr>
          <w:rFonts w:eastAsia="宋体" w:cs="Times New Roman"/>
        </w:rPr>
      </w:pPr>
      <w:r>
        <w:rPr>
          <w:rFonts w:hint="eastAsia" w:eastAsia="宋体" w:cs="Times New Roman"/>
        </w:rPr>
        <w:t>报名提交资料：均为盖章电子扫描版，</w:t>
      </w:r>
      <w:r>
        <w:rPr>
          <w:rFonts w:hint="eastAsia" w:eastAsia="宋体" w:cs="Times New Roman"/>
          <w:highlight w:val="none"/>
        </w:rPr>
        <w:t>用公司名称+文件名称命名</w:t>
      </w:r>
      <w:r>
        <w:rPr>
          <w:rFonts w:hint="eastAsia" w:eastAsia="宋体" w:cs="Times New Roman"/>
        </w:rPr>
        <w:t>。</w:t>
      </w:r>
    </w:p>
    <w:p>
      <w:pPr>
        <w:numPr>
          <w:ilvl w:val="0"/>
          <w:numId w:val="9"/>
        </w:numPr>
        <w:spacing w:line="420" w:lineRule="exact"/>
        <w:rPr>
          <w:rFonts w:ascii="宋体" w:hAnsi="宋体" w:eastAsia="宋体" w:cs="宋体"/>
          <w:color w:val="000000"/>
          <w:sz w:val="24"/>
          <w:szCs w:val="24"/>
        </w:rPr>
      </w:pPr>
      <w:r>
        <w:rPr>
          <w:rFonts w:hint="eastAsia" w:ascii="宋体" w:hAnsi="宋体" w:eastAsia="宋体" w:cs="Times New Roman"/>
          <w:b/>
          <w:color w:val="000000"/>
          <w:sz w:val="24"/>
          <w:szCs w:val="24"/>
        </w:rPr>
        <w:t>如果是授权委托人投标，</w:t>
      </w:r>
      <w:r>
        <w:rPr>
          <w:rFonts w:hint="eastAsia" w:ascii="宋体" w:hAnsi="宋体" w:eastAsia="宋体" w:cs="Times New Roman"/>
          <w:color w:val="000000"/>
          <w:sz w:val="24"/>
          <w:szCs w:val="24"/>
        </w:rPr>
        <w:t>要提交三证合一的营业执照副本、法人授权委托书（含法人及授权人身份信息证明、授权代表联系方式）。</w:t>
      </w:r>
    </w:p>
    <w:p>
      <w:pPr>
        <w:numPr>
          <w:ilvl w:val="0"/>
          <w:numId w:val="9"/>
        </w:numPr>
        <w:spacing w:line="420" w:lineRule="exact"/>
        <w:rPr>
          <w:rFonts w:ascii="宋体" w:hAnsi="宋体" w:eastAsia="宋体" w:cs="Times New Roman"/>
          <w:color w:val="000000"/>
          <w:sz w:val="24"/>
          <w:szCs w:val="24"/>
        </w:rPr>
      </w:pPr>
      <w:r>
        <w:rPr>
          <w:rFonts w:hint="eastAsia" w:ascii="宋体" w:hAnsi="宋体" w:eastAsia="宋体" w:cs="Times New Roman"/>
          <w:b/>
          <w:color w:val="000000"/>
          <w:sz w:val="24"/>
          <w:szCs w:val="24"/>
        </w:rPr>
        <w:t>如果是法人参加投标</w:t>
      </w:r>
      <w:r>
        <w:rPr>
          <w:rFonts w:hint="eastAsia" w:ascii="宋体" w:hAnsi="宋体" w:eastAsia="宋体" w:cs="Times New Roman"/>
          <w:color w:val="000000"/>
          <w:sz w:val="24"/>
          <w:szCs w:val="24"/>
        </w:rPr>
        <w:t>，要提交三证合一的营业执照副本、法人代表证明文件。</w:t>
      </w:r>
    </w:p>
    <w:p>
      <w:pPr>
        <w:numPr>
          <w:ilvl w:val="0"/>
          <w:numId w:val="9"/>
        </w:numPr>
        <w:spacing w:line="420" w:lineRule="exact"/>
        <w:rPr>
          <w:rFonts w:ascii="宋体" w:hAnsi="宋体" w:eastAsia="宋体" w:cs="Times New Roman"/>
          <w:color w:val="000000"/>
          <w:sz w:val="24"/>
          <w:szCs w:val="24"/>
        </w:rPr>
      </w:pPr>
      <w:r>
        <w:rPr>
          <w:rFonts w:hint="eastAsia" w:ascii="宋体" w:hAnsi="宋体" w:eastAsia="宋体" w:cs="Times New Roman"/>
          <w:b/>
          <w:color w:val="000000"/>
          <w:sz w:val="24"/>
          <w:szCs w:val="24"/>
        </w:rPr>
        <w:t>如果是代理商投标</w:t>
      </w:r>
      <w:r>
        <w:rPr>
          <w:rFonts w:hint="eastAsia" w:ascii="宋体" w:hAnsi="宋体" w:eastAsia="宋体" w:cs="Times New Roman"/>
          <w:color w:val="000000"/>
          <w:sz w:val="24"/>
          <w:szCs w:val="24"/>
        </w:rPr>
        <w:t>，除上述</w:t>
      </w:r>
      <w:r>
        <w:rPr>
          <w:rFonts w:ascii="宋体" w:hAnsi="宋体" w:eastAsia="宋体" w:cs="Times New Roman"/>
          <w:color w:val="000000"/>
          <w:sz w:val="24"/>
          <w:szCs w:val="24"/>
        </w:rPr>
        <w:t>a)b)</w:t>
      </w:r>
      <w:r>
        <w:rPr>
          <w:rFonts w:hint="eastAsia" w:ascii="宋体" w:hAnsi="宋体" w:eastAsia="宋体" w:cs="Times New Roman"/>
          <w:color w:val="000000"/>
          <w:sz w:val="24"/>
          <w:szCs w:val="24"/>
        </w:rPr>
        <w:t>中要求的资料，要另外携带生产商的授权书、原厂售后服务承诺书。</w:t>
      </w:r>
    </w:p>
    <w:p>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5.开标时间</w:t>
      </w:r>
    </w:p>
    <w:p>
      <w:pPr>
        <w:keepNext/>
        <w:keepLines/>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见《投标须知前附表》5.1，若有变动另行通知。</w:t>
      </w:r>
    </w:p>
    <w:p>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6.开标方式</w:t>
      </w:r>
    </w:p>
    <w:p>
      <w:pPr>
        <w:keepNext/>
        <w:keepLines/>
        <w:spacing w:line="420" w:lineRule="exact"/>
        <w:ind w:firstLine="480" w:firstLineChars="200"/>
        <w:rPr>
          <w:rFonts w:hint="eastAsia" w:ascii="宋体" w:hAnsi="宋体" w:eastAsia="宋体" w:cs="Times New Roman"/>
          <w:color w:val="000000"/>
          <w:sz w:val="24"/>
          <w:szCs w:val="24"/>
          <w:highlight w:val="yellow"/>
          <w:lang w:val="en-US" w:eastAsia="zh-CN"/>
        </w:rPr>
      </w:pPr>
      <w:bookmarkStart w:id="5" w:name="_Toc33266914"/>
      <w:bookmarkStart w:id="6" w:name="_Toc33285487"/>
      <w:bookmarkStart w:id="7" w:name="_Toc33266950"/>
      <w:bookmarkStart w:id="8" w:name="_Toc33265653"/>
      <w:bookmarkStart w:id="9" w:name="_Toc33266627"/>
      <w:bookmarkStart w:id="10" w:name="_Toc33267001"/>
      <w:bookmarkStart w:id="11" w:name="_Toc33265752"/>
      <w:r>
        <w:rPr>
          <w:rFonts w:hint="eastAsia" w:ascii="宋体" w:hAnsi="宋体" w:eastAsia="宋体" w:cs="Times New Roman"/>
          <w:color w:val="000000"/>
          <w:sz w:val="24"/>
          <w:szCs w:val="24"/>
          <w:highlight w:val="yellow"/>
          <w:lang w:val="en-US" w:eastAsia="zh-CN"/>
        </w:rPr>
        <w:t>暂定线下开标。</w:t>
      </w:r>
    </w:p>
    <w:p>
      <w:pPr>
        <w:keepNext/>
        <w:keepLines/>
        <w:spacing w:line="420" w:lineRule="exact"/>
        <w:jc w:val="left"/>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六、评标原则</w:t>
      </w:r>
      <w:bookmarkEnd w:id="5"/>
      <w:bookmarkEnd w:id="6"/>
      <w:bookmarkEnd w:id="7"/>
      <w:bookmarkEnd w:id="8"/>
      <w:bookmarkEnd w:id="9"/>
      <w:bookmarkEnd w:id="10"/>
      <w:bookmarkEnd w:id="11"/>
      <w:bookmarkStart w:id="12" w:name="_Toc395116633"/>
    </w:p>
    <w:bookmarkEnd w:id="12"/>
    <w:p>
      <w:pPr>
        <w:spacing w:line="420" w:lineRule="exact"/>
        <w:ind w:firstLine="482" w:firstLineChars="200"/>
        <w:outlineLvl w:val="2"/>
        <w:rPr>
          <w:rFonts w:hint="eastAsia" w:ascii="宋体" w:hAnsi="宋体" w:eastAsia="宋体" w:cs="宋体"/>
          <w:b/>
          <w:sz w:val="24"/>
          <w:szCs w:val="24"/>
        </w:rPr>
      </w:pPr>
      <w:r>
        <w:rPr>
          <w:rFonts w:ascii="宋体" w:hAnsi="宋体" w:eastAsia="宋体" w:cs="Times New Roman"/>
          <w:b/>
          <w:bCs/>
          <w:color w:val="000000"/>
          <w:sz w:val="24"/>
          <w:szCs w:val="24"/>
        </w:rPr>
        <w:t>1</w:t>
      </w:r>
      <w:r>
        <w:rPr>
          <w:rFonts w:hint="eastAsia" w:ascii="宋体" w:hAnsi="宋体" w:eastAsia="宋体" w:cs="Times New Roman"/>
          <w:b/>
          <w:bCs/>
          <w:color w:val="000000"/>
          <w:sz w:val="24"/>
          <w:szCs w:val="24"/>
        </w:rPr>
        <w:t>.评标</w:t>
      </w:r>
      <w:bookmarkStart w:id="13" w:name="_Toc33285489"/>
      <w:bookmarkStart w:id="14" w:name="_Toc33266915"/>
      <w:bookmarkStart w:id="15" w:name="_Toc33266951"/>
      <w:bookmarkStart w:id="16" w:name="_Toc33265654"/>
      <w:bookmarkStart w:id="17" w:name="_Toc395116634"/>
      <w:bookmarkStart w:id="18" w:name="_Toc33265753"/>
      <w:bookmarkStart w:id="19" w:name="_Toc33267002"/>
      <w:bookmarkStart w:id="20" w:name="_Toc33266628"/>
    </w:p>
    <w:p>
      <w:pPr>
        <w:bidi w:val="0"/>
        <w:ind w:firstLine="420" w:firstLineChars="0"/>
        <w:rPr>
          <w:rFonts w:hint="eastAsia"/>
          <w:b/>
          <w:bCs/>
        </w:rPr>
      </w:pPr>
      <w:r>
        <w:rPr>
          <w:rFonts w:hint="eastAsia"/>
          <w:b/>
          <w:bCs/>
        </w:rPr>
        <w:t>评标模式：综合评标法，得分=技术标×30%+商务标×70%。</w:t>
      </w:r>
    </w:p>
    <w:p>
      <w:pPr>
        <w:bidi w:val="0"/>
        <w:ind w:firstLine="420" w:firstLineChars="0"/>
        <w:rPr>
          <w:rFonts w:hint="eastAsia"/>
          <w:b/>
          <w:bCs/>
        </w:rPr>
      </w:pPr>
      <w:r>
        <w:rPr>
          <w:rFonts w:hint="eastAsia"/>
          <w:b/>
          <w:bCs/>
          <w:lang w:val="en-US" w:eastAsia="zh-CN"/>
        </w:rPr>
        <w:t>商务标：商务标得分=当前轮次最低价/供方投标价×商务标总分。</w:t>
      </w:r>
    </w:p>
    <w:tbl>
      <w:tblPr>
        <w:tblStyle w:val="39"/>
        <w:tblW w:w="90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750"/>
        <w:gridCol w:w="533"/>
        <w:gridCol w:w="1769"/>
        <w:gridCol w:w="1162"/>
        <w:gridCol w:w="41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730"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评价类型</w:t>
            </w:r>
          </w:p>
        </w:tc>
        <w:tc>
          <w:tcPr>
            <w:tcW w:w="750" w:type="dxa"/>
            <w:vAlign w:val="center"/>
          </w:tcPr>
          <w:p>
            <w:pPr>
              <w:tabs>
                <w:tab w:val="left" w:pos="13965"/>
              </w:tabs>
              <w:spacing w:line="360" w:lineRule="auto"/>
              <w:ind w:right="-6"/>
              <w:jc w:val="center"/>
              <w:rPr>
                <w:rFonts w:hint="eastAsia" w:ascii="宋体" w:hAnsi="宋体" w:eastAsia="宋体" w:cs="Times New Roman"/>
                <w:b/>
                <w:sz w:val="24"/>
                <w:szCs w:val="24"/>
                <w:highlight w:val="none"/>
                <w:lang w:val="en-US" w:eastAsia="zh-CN"/>
              </w:rPr>
            </w:pPr>
            <w:r>
              <w:rPr>
                <w:rFonts w:hint="eastAsia" w:ascii="宋体" w:hAnsi="宋体" w:eastAsia="宋体" w:cs="Times New Roman"/>
                <w:b/>
                <w:sz w:val="24"/>
                <w:szCs w:val="24"/>
                <w:highlight w:val="none"/>
                <w:lang w:val="en-US" w:eastAsia="zh-CN"/>
              </w:rPr>
              <w:t>评审内容</w:t>
            </w:r>
          </w:p>
        </w:tc>
        <w:tc>
          <w:tcPr>
            <w:tcW w:w="533"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序号</w:t>
            </w:r>
          </w:p>
        </w:tc>
        <w:tc>
          <w:tcPr>
            <w:tcW w:w="1769"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内</w:t>
            </w:r>
            <w:r>
              <w:rPr>
                <w:rFonts w:ascii="宋体" w:hAnsi="宋体" w:eastAsia="宋体" w:cs="Times New Roman"/>
                <w:b/>
                <w:sz w:val="24"/>
                <w:szCs w:val="24"/>
                <w:highlight w:val="none"/>
              </w:rPr>
              <w:t xml:space="preserve">   </w:t>
            </w:r>
            <w:r>
              <w:rPr>
                <w:rFonts w:hint="eastAsia" w:ascii="宋体" w:hAnsi="宋体" w:eastAsia="宋体" w:cs="Times New Roman"/>
                <w:b/>
                <w:sz w:val="24"/>
                <w:szCs w:val="24"/>
                <w:highlight w:val="none"/>
              </w:rPr>
              <w:t>容</w:t>
            </w:r>
          </w:p>
        </w:tc>
        <w:tc>
          <w:tcPr>
            <w:tcW w:w="1162"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标准分</w:t>
            </w:r>
          </w:p>
        </w:tc>
        <w:tc>
          <w:tcPr>
            <w:tcW w:w="4129"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730" w:type="dxa"/>
            <w:vMerge w:val="restart"/>
            <w:vAlign w:val="center"/>
          </w:tcPr>
          <w:p>
            <w:pPr>
              <w:tabs>
                <w:tab w:val="left" w:pos="13965"/>
              </w:tabs>
              <w:spacing w:line="240" w:lineRule="auto"/>
              <w:ind w:right="-6"/>
              <w:jc w:val="center"/>
              <w:rPr>
                <w:rFonts w:ascii="宋体" w:hAnsi="Times New Roman" w:eastAsia="宋体" w:cs="Times New Roman"/>
                <w:sz w:val="24"/>
                <w:szCs w:val="24"/>
                <w:highlight w:val="none"/>
              </w:rPr>
            </w:pPr>
            <w:r>
              <w:rPr>
                <w:rFonts w:hint="eastAsia" w:ascii="宋体" w:hAnsi="宋体" w:eastAsia="宋体" w:cs="Times New Roman"/>
                <w:sz w:val="24"/>
                <w:szCs w:val="24"/>
                <w:highlight w:val="none"/>
              </w:rPr>
              <w:t>技术</w:t>
            </w:r>
          </w:p>
          <w:p>
            <w:pPr>
              <w:tabs>
                <w:tab w:val="left" w:pos="13965"/>
              </w:tabs>
              <w:spacing w:line="240" w:lineRule="auto"/>
              <w:ind w:right="-6"/>
              <w:jc w:val="center"/>
              <w:rPr>
                <w:rFonts w:ascii="宋体" w:hAnsi="Times New Roman" w:eastAsia="宋体" w:cs="Times New Roman"/>
                <w:sz w:val="24"/>
                <w:szCs w:val="24"/>
                <w:highlight w:val="none"/>
              </w:rPr>
            </w:pPr>
            <w:r>
              <w:rPr>
                <w:rFonts w:hint="eastAsia" w:ascii="宋体" w:hAnsi="宋体" w:eastAsia="宋体" w:cs="Times New Roman"/>
                <w:sz w:val="24"/>
                <w:szCs w:val="24"/>
                <w:highlight w:val="none"/>
                <w:lang w:val="en-US" w:eastAsia="zh-CN"/>
              </w:rPr>
              <w:t>10</w:t>
            </w:r>
            <w:r>
              <w:rPr>
                <w:rFonts w:ascii="宋体" w:hAnsi="宋体" w:eastAsia="宋体" w:cs="Times New Roman"/>
                <w:sz w:val="24"/>
                <w:szCs w:val="24"/>
                <w:highlight w:val="none"/>
              </w:rPr>
              <w:t>0</w:t>
            </w:r>
            <w:r>
              <w:rPr>
                <w:rFonts w:hint="eastAsia" w:ascii="宋体" w:hAnsi="宋体" w:eastAsia="宋体" w:cs="Times New Roman"/>
                <w:sz w:val="24"/>
                <w:szCs w:val="24"/>
                <w:highlight w:val="none"/>
              </w:rPr>
              <w:t>分</w:t>
            </w:r>
          </w:p>
        </w:tc>
        <w:tc>
          <w:tcPr>
            <w:tcW w:w="750" w:type="dxa"/>
            <w:vAlign w:val="center"/>
          </w:tcPr>
          <w:p>
            <w:pPr>
              <w:tabs>
                <w:tab w:val="left" w:pos="13965"/>
              </w:tabs>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业绩</w:t>
            </w:r>
          </w:p>
        </w:tc>
        <w:tc>
          <w:tcPr>
            <w:tcW w:w="533" w:type="dxa"/>
            <w:vAlign w:val="center"/>
          </w:tcPr>
          <w:p>
            <w:pPr>
              <w:tabs>
                <w:tab w:val="left" w:pos="13965"/>
              </w:tabs>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1</w:t>
            </w:r>
          </w:p>
        </w:tc>
        <w:tc>
          <w:tcPr>
            <w:tcW w:w="1769"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sz w:val="24"/>
                <w:szCs w:val="24"/>
                <w:highlight w:val="none"/>
              </w:rPr>
              <w:t>设备制造商同类型项目业绩</w:t>
            </w:r>
          </w:p>
        </w:tc>
        <w:tc>
          <w:tcPr>
            <w:tcW w:w="1162" w:type="dxa"/>
            <w:vAlign w:val="center"/>
          </w:tcPr>
          <w:p>
            <w:pPr>
              <w:tabs>
                <w:tab w:val="left" w:pos="13965"/>
              </w:tabs>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6</w:t>
            </w:r>
          </w:p>
        </w:tc>
        <w:tc>
          <w:tcPr>
            <w:tcW w:w="4129" w:type="dxa"/>
            <w:vAlign w:val="center"/>
          </w:tcPr>
          <w:p>
            <w:pPr>
              <w:spacing w:line="240" w:lineRule="auto"/>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分（时间以签订日期为准）。</w:t>
            </w:r>
          </w:p>
          <w:p>
            <w:pPr>
              <w:spacing w:line="240" w:lineRule="auto"/>
              <w:rPr>
                <w:highlight w:val="none"/>
              </w:rPr>
            </w:pPr>
            <w:r>
              <w:rPr>
                <w:rFonts w:hint="eastAsia" w:ascii="宋体" w:hAnsi="宋体" w:eastAsia="宋体" w:cs="Times New Roman"/>
                <w:bCs/>
                <w:sz w:val="24"/>
                <w:szCs w:val="24"/>
                <w:highlight w:val="none"/>
              </w:rPr>
              <w:t>投标人在2019年1月1日以来在中国与本标同类规格产品的业绩，以合同复印件加盖公章为准（须有客户联系方式及联系人以供招标人核实确认）。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spacing w:line="240" w:lineRule="auto"/>
              <w:jc w:val="center"/>
              <w:rPr>
                <w:rFonts w:ascii="宋体" w:hAnsi="Times New Roman" w:eastAsia="宋体" w:cs="Times New Roman"/>
                <w:sz w:val="24"/>
                <w:szCs w:val="24"/>
                <w:highlight w:val="none"/>
              </w:rPr>
            </w:pPr>
          </w:p>
        </w:tc>
        <w:tc>
          <w:tcPr>
            <w:tcW w:w="750" w:type="dxa"/>
            <w:vMerge w:val="restart"/>
            <w:vAlign w:val="center"/>
          </w:tcPr>
          <w:p>
            <w:pPr>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产品技术</w:t>
            </w: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2</w:t>
            </w:r>
          </w:p>
        </w:tc>
        <w:tc>
          <w:tcPr>
            <w:tcW w:w="1769"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设备制造商装备制造能力、生产设备、加工工艺、完善程度</w:t>
            </w:r>
          </w:p>
        </w:tc>
        <w:tc>
          <w:tcPr>
            <w:tcW w:w="1162"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6</w:t>
            </w:r>
          </w:p>
        </w:tc>
        <w:tc>
          <w:tcPr>
            <w:tcW w:w="4129"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Times New Roman" w:eastAsia="宋体" w:cs="Times New Roman"/>
                <w:bCs/>
                <w:sz w:val="24"/>
                <w:szCs w:val="24"/>
                <w:highlight w:val="none"/>
                <w:lang w:val="en-US" w:eastAsia="zh-CN"/>
              </w:rPr>
              <w:t>2</w:t>
            </w:r>
            <w:r>
              <w:rPr>
                <w:rFonts w:hint="eastAsia" w:ascii="宋体" w:hAnsi="宋体" w:eastAsia="宋体" w:cs="Times New Roman"/>
                <w:bCs/>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spacing w:line="240" w:lineRule="auto"/>
              <w:jc w:val="center"/>
              <w:rPr>
                <w:rFonts w:ascii="宋体" w:hAnsi="Times New Roman" w:eastAsia="宋体" w:cs="Times New Roman"/>
                <w:sz w:val="24"/>
                <w:szCs w:val="24"/>
                <w:highlight w:val="none"/>
              </w:rPr>
            </w:pPr>
          </w:p>
        </w:tc>
        <w:tc>
          <w:tcPr>
            <w:tcW w:w="750" w:type="dxa"/>
            <w:vMerge w:val="continue"/>
            <w:vAlign w:val="center"/>
          </w:tcPr>
          <w:p>
            <w:pPr>
              <w:spacing w:line="240" w:lineRule="auto"/>
              <w:jc w:val="center"/>
              <w:rPr>
                <w:rFonts w:ascii="宋体" w:hAnsi="宋体" w:eastAsia="宋体" w:cs="Times New Roman"/>
                <w:sz w:val="24"/>
                <w:szCs w:val="24"/>
                <w:highlight w:val="none"/>
              </w:rPr>
            </w:pPr>
          </w:p>
        </w:tc>
        <w:tc>
          <w:tcPr>
            <w:tcW w:w="533" w:type="dxa"/>
            <w:vAlign w:val="center"/>
          </w:tcPr>
          <w:p>
            <w:pPr>
              <w:spacing w:line="240" w:lineRule="auto"/>
              <w:jc w:val="center"/>
              <w:rPr>
                <w:rFonts w:hint="eastAsia" w:ascii="宋体" w:hAnsi="宋体" w:eastAsia="宋体" w:cs="Times New Roman"/>
                <w:kern w:val="2"/>
                <w:sz w:val="24"/>
                <w:szCs w:val="24"/>
                <w:highlight w:val="none"/>
                <w:lang w:val="en-US" w:eastAsia="zh-CN" w:bidi="ar-SA"/>
              </w:rPr>
            </w:pPr>
            <w:r>
              <w:rPr>
                <w:rFonts w:hint="eastAsia" w:ascii="宋体" w:hAnsi="宋体" w:eastAsia="宋体" w:cs="Times New Roman"/>
                <w:sz w:val="24"/>
                <w:szCs w:val="24"/>
                <w:highlight w:val="none"/>
                <w:lang w:val="en-US" w:eastAsia="zh-CN"/>
              </w:rPr>
              <w:t>3</w:t>
            </w:r>
          </w:p>
        </w:tc>
        <w:tc>
          <w:tcPr>
            <w:tcW w:w="1769" w:type="dxa"/>
            <w:vAlign w:val="center"/>
          </w:tcPr>
          <w:p>
            <w:pPr>
              <w:spacing w:line="240" w:lineRule="auto"/>
              <w:rPr>
                <w:rFonts w:hint="eastAsia" w:ascii="宋体" w:hAnsi="Times New Roman" w:eastAsia="宋体" w:cs="Times New Roman"/>
                <w:bCs/>
                <w:kern w:val="2"/>
                <w:sz w:val="24"/>
                <w:szCs w:val="24"/>
                <w:highlight w:val="none"/>
                <w:lang w:val="en-US" w:eastAsia="zh-CN" w:bidi="ar-SA"/>
              </w:rPr>
            </w:pPr>
            <w:r>
              <w:rPr>
                <w:rFonts w:hint="eastAsia" w:ascii="宋体" w:hAnsi="宋体" w:eastAsia="宋体" w:cs="Times New Roman"/>
                <w:bCs/>
                <w:sz w:val="24"/>
                <w:szCs w:val="24"/>
                <w:highlight w:val="none"/>
              </w:rPr>
              <w:t>产品方案技术先进、各系统完善、性能可靠，设备主要核心部件，具备自身技术优势</w:t>
            </w:r>
          </w:p>
        </w:tc>
        <w:tc>
          <w:tcPr>
            <w:tcW w:w="1162" w:type="dxa"/>
            <w:vAlign w:val="center"/>
          </w:tcPr>
          <w:p>
            <w:pPr>
              <w:spacing w:line="240" w:lineRule="auto"/>
              <w:jc w:val="center"/>
              <w:rPr>
                <w:rFonts w:hint="default" w:ascii="宋体" w:hAnsi="宋体" w:eastAsia="宋体" w:cs="Times New Roman"/>
                <w:kern w:val="2"/>
                <w:sz w:val="24"/>
                <w:szCs w:val="24"/>
                <w:highlight w:val="none"/>
                <w:lang w:val="en-US" w:eastAsia="zh-CN" w:bidi="ar-SA"/>
              </w:rPr>
            </w:pPr>
            <w:r>
              <w:rPr>
                <w:rFonts w:hint="eastAsia" w:ascii="宋体" w:hAnsi="宋体" w:eastAsia="宋体" w:cs="Times New Roman"/>
                <w:sz w:val="24"/>
                <w:szCs w:val="24"/>
                <w:highlight w:val="none"/>
                <w:lang w:val="en-US" w:eastAsia="zh-CN"/>
              </w:rPr>
              <w:t>50</w:t>
            </w:r>
          </w:p>
        </w:tc>
        <w:tc>
          <w:tcPr>
            <w:tcW w:w="4129" w:type="dxa"/>
            <w:vAlign w:val="center"/>
          </w:tcPr>
          <w:p>
            <w:pPr>
              <w:spacing w:line="240" w:lineRule="auto"/>
              <w:rPr>
                <w:rFonts w:ascii="宋体" w:hAnsi="宋体" w:eastAsia="宋体" w:cs="Times New Roman"/>
                <w:sz w:val="24"/>
                <w:szCs w:val="24"/>
                <w:highlight w:val="none"/>
              </w:rPr>
            </w:pPr>
            <w:r>
              <w:rPr>
                <w:rFonts w:hint="eastAsia" w:ascii="宋体" w:hAnsi="宋体" w:eastAsia="宋体" w:cs="Times New Roman"/>
                <w:sz w:val="24"/>
                <w:szCs w:val="24"/>
                <w:highlight w:val="none"/>
              </w:rPr>
              <w:t>以下各项由评标委员会成员独立进行客观、公正的评价打分。</w:t>
            </w:r>
            <w:r>
              <w:rPr>
                <w:rFonts w:ascii="宋体" w:hAnsi="宋体" w:eastAsia="宋体" w:cs="Times New Roman"/>
                <w:sz w:val="24"/>
                <w:szCs w:val="24"/>
                <w:highlight w:val="none"/>
              </w:rPr>
              <w:t xml:space="preserve"> </w:t>
            </w:r>
          </w:p>
          <w:p>
            <w:pPr>
              <w:numPr>
                <w:ilvl w:val="0"/>
                <w:numId w:val="0"/>
              </w:numPr>
              <w:spacing w:line="240" w:lineRule="auto"/>
              <w:ind w:leftChars="0"/>
              <w:rPr>
                <w:rFonts w:ascii="宋体" w:hAnsi="Times New Roman" w:eastAsia="宋体" w:cs="Times New Roman"/>
                <w:sz w:val="24"/>
                <w:szCs w:val="24"/>
                <w:highlight w:val="none"/>
              </w:rPr>
            </w:pPr>
            <w:r>
              <w:rPr>
                <w:rFonts w:hint="eastAsia" w:ascii="宋体" w:hAnsi="宋体" w:eastAsia="宋体" w:cs="Times New Roman"/>
                <w:bCs/>
                <w:sz w:val="24"/>
                <w:szCs w:val="24"/>
                <w:highlight w:val="none"/>
                <w:lang w:val="en-US" w:eastAsia="zh-CN"/>
              </w:rPr>
              <w:t>①</w:t>
            </w:r>
            <w:r>
              <w:rPr>
                <w:rFonts w:hint="eastAsia" w:ascii="宋体" w:hAnsi="宋体" w:eastAsia="宋体" w:cs="Times New Roman"/>
                <w:bCs/>
                <w:sz w:val="24"/>
                <w:szCs w:val="24"/>
                <w:highlight w:val="none"/>
              </w:rPr>
              <w:t>定制系统方案已到达招标要求，设备主要核心部件，具备自身技术优势，打分</w:t>
            </w:r>
            <w:r>
              <w:rPr>
                <w:rFonts w:ascii="宋体" w:hAnsi="宋体" w:eastAsia="宋体" w:cs="Times New Roman"/>
                <w:bCs/>
                <w:sz w:val="24"/>
                <w:szCs w:val="24"/>
                <w:highlight w:val="none"/>
              </w:rPr>
              <w:t>0-</w:t>
            </w:r>
            <w:r>
              <w:rPr>
                <w:rFonts w:hint="eastAsia" w:ascii="宋体" w:hAnsi="宋体" w:eastAsia="宋体" w:cs="Times New Roman"/>
                <w:bCs/>
                <w:sz w:val="24"/>
                <w:szCs w:val="24"/>
                <w:highlight w:val="none"/>
                <w:lang w:val="en-US" w:eastAsia="zh-CN"/>
              </w:rPr>
              <w:t>16</w:t>
            </w:r>
            <w:r>
              <w:rPr>
                <w:rFonts w:hint="eastAsia" w:ascii="宋体" w:hAnsi="宋体" w:eastAsia="宋体" w:cs="Times New Roman"/>
                <w:bCs/>
                <w:sz w:val="24"/>
                <w:szCs w:val="24"/>
                <w:highlight w:val="none"/>
              </w:rPr>
              <w:t>分。</w:t>
            </w:r>
          </w:p>
          <w:p>
            <w:pPr>
              <w:numPr>
                <w:ilvl w:val="0"/>
                <w:numId w:val="0"/>
              </w:numPr>
              <w:spacing w:line="240" w:lineRule="auto"/>
              <w:ind w:leftChars="0"/>
              <w:rPr>
                <w:rFonts w:ascii="宋体" w:hAnsi="Times New Roman" w:eastAsia="宋体" w:cs="Times New Roman"/>
                <w:sz w:val="24"/>
                <w:szCs w:val="24"/>
                <w:highlight w:val="none"/>
              </w:rPr>
            </w:pPr>
            <w:r>
              <w:rPr>
                <w:rFonts w:hint="eastAsia" w:ascii="宋体" w:hAnsi="宋体" w:eastAsia="宋体" w:cs="Times New Roman"/>
                <w:bCs/>
                <w:sz w:val="24"/>
                <w:szCs w:val="24"/>
                <w:highlight w:val="none"/>
                <w:lang w:val="en-US" w:eastAsia="zh-CN"/>
              </w:rPr>
              <w:t>②</w:t>
            </w:r>
            <w:r>
              <w:rPr>
                <w:rFonts w:hint="eastAsia" w:ascii="宋体" w:hAnsi="宋体" w:eastAsia="宋体" w:cs="Times New Roman"/>
                <w:bCs/>
                <w:sz w:val="24"/>
                <w:szCs w:val="24"/>
                <w:highlight w:val="none"/>
              </w:rPr>
              <w:t>系统配置齐全，其精度、参数、技术水平、可靠性等优势明显，打分</w:t>
            </w:r>
            <w:r>
              <w:rPr>
                <w:rFonts w:ascii="宋体" w:hAnsi="宋体" w:eastAsia="宋体" w:cs="Times New Roman"/>
                <w:bCs/>
                <w:sz w:val="24"/>
                <w:szCs w:val="24"/>
                <w:highlight w:val="none"/>
              </w:rPr>
              <w:t>0-</w:t>
            </w:r>
            <w:r>
              <w:rPr>
                <w:rFonts w:hint="eastAsia" w:ascii="宋体" w:hAnsi="宋体" w:eastAsia="宋体" w:cs="Times New Roman"/>
                <w:bCs/>
                <w:sz w:val="24"/>
                <w:szCs w:val="24"/>
                <w:highlight w:val="none"/>
                <w:lang w:val="en-US" w:eastAsia="zh-CN"/>
              </w:rPr>
              <w:t>16</w:t>
            </w:r>
            <w:r>
              <w:rPr>
                <w:rFonts w:hint="eastAsia" w:ascii="宋体" w:hAnsi="宋体" w:eastAsia="宋体" w:cs="Times New Roman"/>
                <w:bCs/>
                <w:sz w:val="24"/>
                <w:szCs w:val="24"/>
                <w:highlight w:val="none"/>
              </w:rPr>
              <w:t>分</w:t>
            </w:r>
            <w:r>
              <w:rPr>
                <w:rFonts w:hint="eastAsia" w:ascii="宋体" w:hAnsi="宋体" w:eastAsia="宋体" w:cs="Times New Roman"/>
                <w:sz w:val="24"/>
                <w:szCs w:val="24"/>
                <w:highlight w:val="none"/>
              </w:rPr>
              <w:t>。</w:t>
            </w:r>
          </w:p>
          <w:p>
            <w:pPr>
              <w:numPr>
                <w:ilvl w:val="0"/>
                <w:numId w:val="0"/>
              </w:numPr>
              <w:spacing w:line="240" w:lineRule="auto"/>
              <w:ind w:leftChars="0"/>
              <w:rPr>
                <w:rFonts w:ascii="宋体" w:hAnsi="Times New Roman" w:eastAsia="宋体" w:cs="Times New Roman"/>
                <w:sz w:val="24"/>
                <w:szCs w:val="24"/>
                <w:highlight w:val="none"/>
              </w:rPr>
            </w:pPr>
            <w:r>
              <w:rPr>
                <w:rFonts w:hint="eastAsia" w:ascii="宋体" w:hAnsi="宋体" w:eastAsia="宋体" w:cs="Times New Roman"/>
                <w:sz w:val="24"/>
                <w:szCs w:val="24"/>
                <w:highlight w:val="none"/>
                <w:lang w:val="en-US" w:eastAsia="zh-CN"/>
              </w:rPr>
              <w:t>③</w:t>
            </w:r>
            <w:r>
              <w:rPr>
                <w:rFonts w:hint="eastAsia" w:ascii="宋体" w:hAnsi="宋体" w:eastAsia="宋体" w:cs="Times New Roman"/>
                <w:sz w:val="24"/>
                <w:szCs w:val="24"/>
                <w:highlight w:val="none"/>
              </w:rPr>
              <w:t>操作灵活方便，系统开放程度高，</w:t>
            </w:r>
            <w:r>
              <w:rPr>
                <w:rFonts w:hint="eastAsia" w:ascii="宋体" w:hAnsi="宋体" w:eastAsia="宋体" w:cs="Times New Roman"/>
                <w:bCs/>
                <w:sz w:val="24"/>
                <w:szCs w:val="24"/>
                <w:highlight w:val="none"/>
              </w:rPr>
              <w:t>打分</w:t>
            </w:r>
            <w:r>
              <w:rPr>
                <w:rFonts w:ascii="宋体" w:hAnsi="宋体" w:eastAsia="宋体" w:cs="Times New Roman"/>
                <w:bCs/>
                <w:sz w:val="24"/>
                <w:szCs w:val="24"/>
                <w:highlight w:val="none"/>
              </w:rPr>
              <w:t>0-</w:t>
            </w:r>
            <w:r>
              <w:rPr>
                <w:rFonts w:hint="eastAsia" w:ascii="宋体" w:hAnsi="宋体" w:eastAsia="宋体" w:cs="Times New Roman"/>
                <w:bCs/>
                <w:sz w:val="24"/>
                <w:szCs w:val="24"/>
                <w:highlight w:val="none"/>
                <w:lang w:val="en-US" w:eastAsia="zh-CN"/>
              </w:rPr>
              <w:t>10</w:t>
            </w:r>
            <w:r>
              <w:rPr>
                <w:rFonts w:hint="eastAsia" w:ascii="宋体" w:hAnsi="宋体" w:eastAsia="宋体" w:cs="Times New Roman"/>
                <w:bCs/>
                <w:sz w:val="24"/>
                <w:szCs w:val="24"/>
                <w:highlight w:val="none"/>
              </w:rPr>
              <w:t>分</w:t>
            </w:r>
            <w:r>
              <w:rPr>
                <w:rFonts w:hint="eastAsia" w:ascii="宋体" w:hAnsi="宋体" w:eastAsia="宋体" w:cs="Times New Roman"/>
                <w:sz w:val="24"/>
                <w:szCs w:val="24"/>
                <w:highlight w:val="none"/>
              </w:rPr>
              <w:t>。</w:t>
            </w:r>
          </w:p>
          <w:p>
            <w:pPr>
              <w:numPr>
                <w:ilvl w:val="0"/>
                <w:numId w:val="0"/>
              </w:numPr>
              <w:spacing w:line="240" w:lineRule="auto"/>
              <w:ind w:leftChars="0"/>
              <w:rPr>
                <w:rFonts w:hint="eastAsia" w:ascii="宋体" w:hAnsi="Times New Roman" w:eastAsia="宋体" w:cs="Times New Roman"/>
                <w:kern w:val="2"/>
                <w:sz w:val="24"/>
                <w:szCs w:val="24"/>
                <w:highlight w:val="none"/>
                <w:lang w:val="en-US" w:eastAsia="zh-CN" w:bidi="ar-SA"/>
              </w:rPr>
            </w:pPr>
            <w:r>
              <w:rPr>
                <w:rFonts w:hint="eastAsia" w:ascii="宋体" w:hAnsi="宋体" w:eastAsia="宋体" w:cs="Times New Roman"/>
                <w:sz w:val="24"/>
                <w:szCs w:val="24"/>
                <w:highlight w:val="none"/>
                <w:lang w:val="en-US" w:eastAsia="zh-CN"/>
              </w:rPr>
              <w:t>④</w:t>
            </w:r>
            <w:r>
              <w:rPr>
                <w:rFonts w:hint="eastAsia" w:ascii="宋体" w:hAnsi="宋体" w:eastAsia="宋体" w:cs="Times New Roman"/>
                <w:sz w:val="24"/>
                <w:szCs w:val="24"/>
                <w:highlight w:val="none"/>
              </w:rPr>
              <w:t>综合评价，</w:t>
            </w:r>
            <w:r>
              <w:rPr>
                <w:rFonts w:hint="eastAsia" w:ascii="宋体" w:hAnsi="宋体" w:eastAsia="宋体" w:cs="Times New Roman"/>
                <w:bCs/>
                <w:sz w:val="24"/>
                <w:szCs w:val="24"/>
                <w:highlight w:val="none"/>
              </w:rPr>
              <w:t>打分</w:t>
            </w:r>
            <w:r>
              <w:rPr>
                <w:rFonts w:ascii="宋体" w:hAnsi="宋体" w:eastAsia="宋体" w:cs="Times New Roman"/>
                <w:bCs/>
                <w:sz w:val="24"/>
                <w:szCs w:val="24"/>
                <w:highlight w:val="none"/>
              </w:rPr>
              <w:t>0-</w:t>
            </w:r>
            <w:r>
              <w:rPr>
                <w:rFonts w:hint="eastAsia" w:ascii="宋体" w:hAnsi="宋体" w:eastAsia="宋体" w:cs="Times New Roman"/>
                <w:bCs/>
                <w:sz w:val="24"/>
                <w:szCs w:val="24"/>
                <w:highlight w:val="none"/>
                <w:lang w:val="en-US" w:eastAsia="zh-CN"/>
              </w:rPr>
              <w:t>8</w:t>
            </w:r>
            <w:r>
              <w:rPr>
                <w:rFonts w:hint="eastAsia" w:ascii="宋体" w:hAnsi="宋体" w:eastAsia="宋体" w:cs="Times New Roman"/>
                <w:bCs/>
                <w:sz w:val="24"/>
                <w:szCs w:val="24"/>
                <w:highlight w:val="none"/>
              </w:rPr>
              <w:t>分</w:t>
            </w:r>
            <w:r>
              <w:rPr>
                <w:rFonts w:hint="eastAsia" w:ascii="宋体" w:hAnsi="宋体" w:eastAsia="宋体" w:cs="Times New Roman"/>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spacing w:line="240" w:lineRule="auto"/>
              <w:jc w:val="center"/>
              <w:rPr>
                <w:rFonts w:ascii="宋体" w:hAnsi="Times New Roman" w:eastAsia="宋体" w:cs="Times New Roman"/>
                <w:sz w:val="24"/>
                <w:szCs w:val="24"/>
                <w:highlight w:val="none"/>
              </w:rPr>
            </w:pPr>
          </w:p>
        </w:tc>
        <w:tc>
          <w:tcPr>
            <w:tcW w:w="750" w:type="dxa"/>
            <w:vAlign w:val="center"/>
          </w:tcPr>
          <w:p>
            <w:pPr>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答疑</w:t>
            </w:r>
          </w:p>
        </w:tc>
        <w:tc>
          <w:tcPr>
            <w:tcW w:w="533"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4</w:t>
            </w:r>
          </w:p>
        </w:tc>
        <w:tc>
          <w:tcPr>
            <w:tcW w:w="1769"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现场答疑</w:t>
            </w:r>
          </w:p>
        </w:tc>
        <w:tc>
          <w:tcPr>
            <w:tcW w:w="1162"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8</w:t>
            </w:r>
          </w:p>
        </w:tc>
        <w:tc>
          <w:tcPr>
            <w:tcW w:w="4129"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sz w:val="24"/>
                <w:szCs w:val="24"/>
                <w:highlight w:val="none"/>
              </w:rPr>
              <w:t>投标人代表对方案、技术优势的讲解，以及就该项目难点回答评标专家现场提问，打分0-</w:t>
            </w: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730" w:type="dxa"/>
            <w:vMerge w:val="continue"/>
            <w:vAlign w:val="center"/>
          </w:tcPr>
          <w:p>
            <w:pPr>
              <w:spacing w:line="240" w:lineRule="auto"/>
              <w:jc w:val="center"/>
              <w:rPr>
                <w:rFonts w:ascii="宋体" w:hAnsi="Times New Roman" w:eastAsia="宋体" w:cs="Times New Roman"/>
                <w:sz w:val="24"/>
                <w:szCs w:val="24"/>
              </w:rPr>
            </w:pPr>
          </w:p>
        </w:tc>
        <w:tc>
          <w:tcPr>
            <w:tcW w:w="750" w:type="dxa"/>
            <w:vAlign w:val="center"/>
          </w:tcPr>
          <w:p>
            <w:pPr>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技术偏离</w:t>
            </w: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5</w:t>
            </w:r>
          </w:p>
        </w:tc>
        <w:tc>
          <w:tcPr>
            <w:tcW w:w="1769"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bCs/>
                <w:sz w:val="24"/>
                <w:szCs w:val="24"/>
                <w:highlight w:val="none"/>
              </w:rPr>
              <w:t>技术偏离</w:t>
            </w:r>
          </w:p>
        </w:tc>
        <w:tc>
          <w:tcPr>
            <w:tcW w:w="1162" w:type="dxa"/>
            <w:vAlign w:val="center"/>
          </w:tcPr>
          <w:p>
            <w:pPr>
              <w:spacing w:line="240" w:lineRule="auto"/>
              <w:jc w:val="center"/>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12</w:t>
            </w:r>
          </w:p>
        </w:tc>
        <w:tc>
          <w:tcPr>
            <w:tcW w:w="4129" w:type="dxa"/>
            <w:vAlign w:val="center"/>
          </w:tcPr>
          <w:p>
            <w:pPr>
              <w:spacing w:line="240" w:lineRule="auto"/>
              <w:jc w:val="left"/>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由评标委员会成员独立进行客观、公正的评价，根据各</w:t>
            </w:r>
            <w:r>
              <w:rPr>
                <w:rFonts w:hint="eastAsia" w:ascii="宋体" w:hAnsi="宋体" w:eastAsia="宋体" w:cs="Times New Roman"/>
                <w:bCs/>
                <w:sz w:val="24"/>
                <w:szCs w:val="24"/>
                <w:highlight w:val="none"/>
                <w:lang w:eastAsia="zh-CN"/>
              </w:rPr>
              <w:t>投标人</w:t>
            </w:r>
            <w:r>
              <w:rPr>
                <w:rFonts w:hint="eastAsia" w:ascii="宋体" w:hAnsi="宋体" w:eastAsia="宋体" w:cs="Times New Roman"/>
                <w:bCs/>
                <w:sz w:val="24"/>
                <w:szCs w:val="24"/>
                <w:highlight w:val="none"/>
              </w:rPr>
              <w:t>的核心产品的配置参数、技术偏离情况，在满足我司技术基本要求的前提下偏离，无偏离得满分</w:t>
            </w:r>
            <w:r>
              <w:rPr>
                <w:rFonts w:hint="eastAsia" w:ascii="宋体" w:hAnsi="宋体" w:eastAsia="宋体" w:cs="Times New Roman"/>
                <w:bCs/>
                <w:sz w:val="24"/>
                <w:szCs w:val="24"/>
                <w:highlight w:val="none"/>
                <w:lang w:val="en-US" w:eastAsia="zh-CN"/>
              </w:rPr>
              <w:t>12</w:t>
            </w:r>
            <w:r>
              <w:rPr>
                <w:rFonts w:hint="eastAsia" w:ascii="宋体" w:hAnsi="宋体" w:eastAsia="宋体" w:cs="Times New Roman"/>
                <w:bCs/>
                <w:sz w:val="24"/>
                <w:szCs w:val="24"/>
                <w:highlight w:val="none"/>
              </w:rPr>
              <w:t>分，较大偏离每一项扣</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分，一般偏离每一项扣</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分，最低</w:t>
            </w:r>
            <w:r>
              <w:rPr>
                <w:rFonts w:ascii="宋体" w:hAnsi="Times New Roman" w:eastAsia="宋体" w:cs="Times New Roman"/>
                <w:bCs/>
                <w:sz w:val="24"/>
                <w:szCs w:val="24"/>
                <w:highlight w:val="none"/>
              </w:rPr>
              <w:t>0</w:t>
            </w:r>
            <w:r>
              <w:rPr>
                <w:rFonts w:hint="eastAsia" w:ascii="宋体" w:hAnsi="宋体" w:eastAsia="宋体" w:cs="Times New Roman"/>
                <w:bCs/>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spacing w:line="240" w:lineRule="auto"/>
              <w:jc w:val="center"/>
              <w:rPr>
                <w:rFonts w:ascii="宋体" w:hAnsi="Times New Roman" w:eastAsia="宋体" w:cs="Times New Roman"/>
                <w:sz w:val="24"/>
                <w:szCs w:val="24"/>
              </w:rPr>
            </w:pPr>
          </w:p>
        </w:tc>
        <w:tc>
          <w:tcPr>
            <w:tcW w:w="750" w:type="dxa"/>
            <w:vMerge w:val="restart"/>
            <w:vAlign w:val="center"/>
          </w:tcPr>
          <w:p>
            <w:pPr>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售后服务</w:t>
            </w: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6</w:t>
            </w:r>
          </w:p>
        </w:tc>
        <w:tc>
          <w:tcPr>
            <w:tcW w:w="1769"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sz w:val="24"/>
                <w:szCs w:val="24"/>
                <w:highlight w:val="none"/>
              </w:rPr>
              <w:t>技术培训方案：对采购方人员的技术培训方案安排科学、合理、可行</w:t>
            </w:r>
          </w:p>
        </w:tc>
        <w:tc>
          <w:tcPr>
            <w:tcW w:w="1162"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6</w:t>
            </w:r>
          </w:p>
        </w:tc>
        <w:tc>
          <w:tcPr>
            <w:tcW w:w="4129"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spacing w:line="240" w:lineRule="auto"/>
              <w:jc w:val="center"/>
              <w:rPr>
                <w:rFonts w:ascii="宋体" w:hAnsi="Times New Roman" w:eastAsia="宋体" w:cs="Times New Roman"/>
                <w:sz w:val="24"/>
                <w:szCs w:val="24"/>
              </w:rPr>
            </w:pPr>
          </w:p>
        </w:tc>
        <w:tc>
          <w:tcPr>
            <w:tcW w:w="750" w:type="dxa"/>
            <w:vMerge w:val="continue"/>
            <w:vAlign w:val="center"/>
          </w:tcPr>
          <w:p>
            <w:pPr>
              <w:spacing w:line="240" w:lineRule="auto"/>
              <w:jc w:val="center"/>
              <w:rPr>
                <w:rFonts w:ascii="宋体" w:hAnsi="宋体" w:eastAsia="宋体" w:cs="Times New Roman"/>
                <w:sz w:val="24"/>
                <w:szCs w:val="24"/>
                <w:highlight w:val="none"/>
              </w:rPr>
            </w:pP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7</w:t>
            </w:r>
          </w:p>
        </w:tc>
        <w:tc>
          <w:tcPr>
            <w:tcW w:w="1769" w:type="dxa"/>
            <w:shd w:val="clear" w:color="auto" w:fill="auto"/>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bCs/>
                <w:sz w:val="24"/>
                <w:szCs w:val="24"/>
                <w:highlight w:val="none"/>
              </w:rPr>
              <w:t>投标人在中国有常驻的专业技术力量的维保机构并具有实施本项目维保的专业技术人员：</w:t>
            </w:r>
          </w:p>
        </w:tc>
        <w:tc>
          <w:tcPr>
            <w:tcW w:w="1162" w:type="dxa"/>
            <w:shd w:val="clear" w:color="auto" w:fill="auto"/>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bCs/>
                <w:sz w:val="24"/>
                <w:szCs w:val="24"/>
                <w:highlight w:val="none"/>
                <w:lang w:val="en-US" w:eastAsia="zh-CN"/>
              </w:rPr>
              <w:t>6</w:t>
            </w:r>
          </w:p>
        </w:tc>
        <w:tc>
          <w:tcPr>
            <w:tcW w:w="4129" w:type="dxa"/>
            <w:shd w:val="clear" w:color="auto" w:fill="auto"/>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spacing w:line="240" w:lineRule="auto"/>
              <w:jc w:val="center"/>
              <w:rPr>
                <w:rFonts w:ascii="宋体" w:hAnsi="Times New Roman" w:eastAsia="宋体" w:cs="Times New Roman"/>
                <w:sz w:val="24"/>
                <w:szCs w:val="24"/>
              </w:rPr>
            </w:pPr>
          </w:p>
        </w:tc>
        <w:tc>
          <w:tcPr>
            <w:tcW w:w="750" w:type="dxa"/>
            <w:vMerge w:val="continue"/>
            <w:vAlign w:val="center"/>
          </w:tcPr>
          <w:p>
            <w:pPr>
              <w:spacing w:line="240" w:lineRule="auto"/>
              <w:jc w:val="center"/>
              <w:rPr>
                <w:rFonts w:ascii="宋体" w:hAnsi="宋体" w:eastAsia="宋体" w:cs="Times New Roman"/>
                <w:sz w:val="24"/>
                <w:szCs w:val="24"/>
                <w:highlight w:val="none"/>
              </w:rPr>
            </w:pP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8</w:t>
            </w:r>
          </w:p>
        </w:tc>
        <w:tc>
          <w:tcPr>
            <w:tcW w:w="1769"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sz w:val="24"/>
                <w:szCs w:val="24"/>
                <w:highlight w:val="none"/>
              </w:rPr>
              <w:t>售后服务及时周到，有相应的服务承诺和具体的保证措施</w:t>
            </w:r>
          </w:p>
        </w:tc>
        <w:tc>
          <w:tcPr>
            <w:tcW w:w="1162"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6</w:t>
            </w:r>
          </w:p>
        </w:tc>
        <w:tc>
          <w:tcPr>
            <w:tcW w:w="4129"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w:t>
            </w:r>
          </w:p>
        </w:tc>
      </w:tr>
    </w:tbl>
    <w:p>
      <w:pPr>
        <w:bidi w:val="0"/>
      </w:pPr>
    </w:p>
    <w:bookmarkEnd w:id="13"/>
    <w:bookmarkEnd w:id="14"/>
    <w:bookmarkEnd w:id="15"/>
    <w:bookmarkEnd w:id="16"/>
    <w:bookmarkEnd w:id="17"/>
    <w:bookmarkEnd w:id="18"/>
    <w:bookmarkEnd w:id="19"/>
    <w:bookmarkEnd w:id="20"/>
    <w:p>
      <w:pPr>
        <w:spacing w:line="42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评标流程：</w:t>
      </w:r>
    </w:p>
    <w:p>
      <w:pPr>
        <w:pStyle w:val="20"/>
        <w:ind w:firstLine="482" w:firstLineChars="200"/>
        <w:rPr>
          <w:rFonts w:eastAsia="宋体"/>
        </w:rPr>
      </w:pPr>
      <w:r>
        <w:rPr>
          <w:rFonts w:hint="eastAsia" w:hAnsi="宋体" w:eastAsia="宋体" w:cs="Times New Roman"/>
          <w:b/>
          <w:color w:val="000000"/>
          <w:sz w:val="24"/>
          <w:szCs w:val="24"/>
        </w:rPr>
        <w:t>投标文件包含《投标文件（资质标）》、《投标文件（技术标）》、《投标文件（商务标）》（开标一览表），共计三个文件。</w:t>
      </w:r>
    </w:p>
    <w:p>
      <w:pPr>
        <w:numPr>
          <w:ilvl w:val="0"/>
          <w:numId w:val="10"/>
        </w:numPr>
        <w:spacing w:line="420" w:lineRule="exact"/>
        <w:rPr>
          <w:rFonts w:ascii="宋体" w:hAnsi="宋体" w:eastAsia="宋体" w:cs="Times New Roman"/>
          <w:b/>
          <w:color w:val="000000"/>
          <w:sz w:val="24"/>
          <w:szCs w:val="24"/>
        </w:rPr>
      </w:pPr>
      <w:r>
        <w:rPr>
          <w:rFonts w:hint="eastAsia" w:ascii="宋体" w:hAnsi="宋体" w:eastAsia="宋体" w:cs="Times New Roman"/>
          <w:b/>
          <w:color w:val="000000"/>
          <w:sz w:val="24"/>
          <w:szCs w:val="24"/>
        </w:rPr>
        <w:t>应标资格审查：在“中国重汽e采通”应标报名时，</w:t>
      </w:r>
      <w:r>
        <w:rPr>
          <w:rFonts w:hint="eastAsia" w:ascii="宋体" w:hAnsi="宋体" w:eastAsia="宋体" w:cs="Times New Roman"/>
          <w:b/>
          <w:bCs/>
          <w:color w:val="000000"/>
          <w:sz w:val="24"/>
          <w:szCs w:val="24"/>
        </w:rPr>
        <w:t>按照第三部分投标文件组成资格证明文件中的1.1</w:t>
      </w:r>
      <w:r>
        <w:rPr>
          <w:rFonts w:ascii="宋体" w:hAnsi="宋体" w:eastAsia="宋体" w:cs="Times New Roman"/>
          <w:b/>
          <w:bCs/>
          <w:color w:val="000000"/>
          <w:sz w:val="24"/>
          <w:szCs w:val="24"/>
        </w:rPr>
        <w:t>-</w:t>
      </w:r>
      <w:r>
        <w:rPr>
          <w:rFonts w:hint="eastAsia" w:ascii="宋体" w:hAnsi="宋体" w:eastAsia="宋体" w:cs="Times New Roman"/>
          <w:b/>
          <w:bCs/>
          <w:color w:val="000000"/>
          <w:sz w:val="24"/>
          <w:szCs w:val="24"/>
        </w:rPr>
        <w:t>1.12准备资料，上传完毕后，等待审核</w:t>
      </w:r>
      <w:r>
        <w:rPr>
          <w:rFonts w:hint="eastAsia" w:ascii="宋体" w:hAnsi="宋体" w:eastAsia="宋体" w:cs="Times New Roman"/>
          <w:b/>
          <w:color w:val="000000"/>
          <w:sz w:val="24"/>
          <w:szCs w:val="24"/>
        </w:rPr>
        <w:t>；</w:t>
      </w:r>
    </w:p>
    <w:p>
      <w:pPr>
        <w:numPr>
          <w:ilvl w:val="0"/>
          <w:numId w:val="11"/>
        </w:numPr>
        <w:spacing w:line="420" w:lineRule="exact"/>
        <w:rPr>
          <w:rFonts w:ascii="宋体" w:hAnsi="宋体" w:eastAsia="宋体" w:cs="Times New Roman"/>
          <w:b/>
          <w:color w:val="000000"/>
          <w:sz w:val="24"/>
          <w:szCs w:val="24"/>
        </w:rPr>
      </w:pPr>
      <w:r>
        <w:rPr>
          <w:rFonts w:hint="eastAsia" w:ascii="宋体" w:hAnsi="宋体" w:eastAsia="宋体" w:cs="Times New Roman"/>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pPr>
        <w:numPr>
          <w:ilvl w:val="0"/>
          <w:numId w:val="12"/>
        </w:numPr>
        <w:spacing w:line="420" w:lineRule="exact"/>
        <w:rPr>
          <w:rFonts w:ascii="宋体" w:hAnsi="宋体" w:eastAsia="宋体" w:cs="Times New Roman"/>
          <w:b/>
          <w:sz w:val="24"/>
          <w:szCs w:val="24"/>
        </w:rPr>
      </w:pPr>
      <w:r>
        <w:rPr>
          <w:rFonts w:hint="eastAsia" w:ascii="宋体" w:hAnsi="宋体" w:eastAsia="宋体" w:cs="Times New Roman"/>
          <w:b/>
          <w:sz w:val="24"/>
          <w:szCs w:val="24"/>
        </w:rPr>
        <w:t>资质标评审：资质标审核通过的单位，进入技术标评审；</w:t>
      </w:r>
    </w:p>
    <w:p>
      <w:pPr>
        <w:numPr>
          <w:ilvl w:val="0"/>
          <w:numId w:val="12"/>
        </w:numPr>
        <w:spacing w:line="420" w:lineRule="exact"/>
        <w:rPr>
          <w:rFonts w:ascii="宋体" w:hAnsi="宋体" w:eastAsia="宋体" w:cs="Times New Roman"/>
          <w:b/>
          <w:sz w:val="24"/>
          <w:szCs w:val="24"/>
          <w:highlight w:val="yellow"/>
        </w:rPr>
      </w:pPr>
      <w:r>
        <w:rPr>
          <w:rFonts w:hint="eastAsia" w:ascii="宋体" w:hAnsi="宋体" w:eastAsia="宋体" w:cs="Times New Roman"/>
          <w:b/>
          <w:color w:val="000000"/>
          <w:sz w:val="24"/>
          <w:szCs w:val="24"/>
        </w:rPr>
        <w:t>技术标评审</w:t>
      </w:r>
      <w:r>
        <w:rPr>
          <w:rFonts w:hint="eastAsia" w:ascii="宋体" w:hAnsi="宋体" w:eastAsia="宋体" w:cs="Times New Roman"/>
          <w:b/>
          <w:sz w:val="24"/>
          <w:szCs w:val="24"/>
        </w:rPr>
        <w:t>：技术标评标专家组，通过重汽e采通，对各投标人的</w:t>
      </w:r>
      <w:r>
        <w:rPr>
          <w:rFonts w:hint="eastAsia" w:hAnsi="宋体" w:eastAsia="宋体" w:cs="Times New Roman"/>
          <w:b/>
          <w:sz w:val="24"/>
          <w:szCs w:val="24"/>
        </w:rPr>
        <w:t>《投标文件（技术标）》进行综合评审；评审期间产生的</w:t>
      </w:r>
      <w:r>
        <w:rPr>
          <w:rFonts w:hint="eastAsia" w:ascii="宋体" w:hAnsi="宋体" w:eastAsia="宋体" w:cs="Times New Roman"/>
          <w:b/>
          <w:sz w:val="24"/>
          <w:szCs w:val="24"/>
        </w:rPr>
        <w:t>技术澄清均由投标人在重汽e采通平台内完成提交；评审合格的单位进入商务标评审环节，评审不合格的单位被淘汰；</w:t>
      </w:r>
    </w:p>
    <w:p>
      <w:pPr>
        <w:numPr>
          <w:ilvl w:val="255"/>
          <w:numId w:val="0"/>
        </w:numPr>
        <w:spacing w:line="420" w:lineRule="exact"/>
        <w:ind w:firstLine="482" w:firstLineChars="200"/>
        <w:rPr>
          <w:rFonts w:ascii="宋体" w:hAnsi="宋体" w:eastAsia="宋体" w:cs="Times New Roman"/>
          <w:b/>
          <w:sz w:val="24"/>
          <w:szCs w:val="24"/>
          <w:highlight w:val="yellow"/>
        </w:rPr>
      </w:pPr>
      <w:r>
        <w:rPr>
          <w:rFonts w:hint="eastAsia" w:ascii="宋体" w:hAnsi="宋体" w:eastAsia="宋体" w:cs="Times New Roman"/>
          <w:b/>
          <w:sz w:val="24"/>
          <w:szCs w:val="24"/>
          <w:highlight w:val="yellow"/>
        </w:rPr>
        <w:t>具体</w:t>
      </w:r>
      <w:r>
        <w:rPr>
          <w:rFonts w:hint="eastAsia" w:ascii="Times New Roman" w:hAnsi="Times New Roman" w:eastAsia="宋体" w:cs="Times New Roman"/>
          <w:b/>
          <w:bCs/>
          <w:color w:val="000000"/>
          <w:sz w:val="24"/>
          <w:szCs w:val="24"/>
          <w:highlight w:val="yellow"/>
        </w:rPr>
        <w:t>技术标评分标准见附件14。</w:t>
      </w:r>
    </w:p>
    <w:p>
      <w:pPr>
        <w:numPr>
          <w:ilvl w:val="0"/>
          <w:numId w:val="13"/>
        </w:numPr>
        <w:spacing w:line="420" w:lineRule="exact"/>
        <w:ind w:left="0" w:firstLine="0"/>
        <w:rPr>
          <w:rFonts w:ascii="宋体" w:hAnsi="宋体" w:cs="Times New Roman"/>
          <w:b/>
          <w:sz w:val="24"/>
          <w:szCs w:val="24"/>
        </w:rPr>
      </w:pPr>
      <w:r>
        <w:rPr>
          <w:rFonts w:hint="eastAsia" w:ascii="宋体" w:hAnsi="宋体" w:eastAsia="宋体" w:cs="Times New Roman"/>
          <w:b/>
          <w:sz w:val="24"/>
          <w:szCs w:val="24"/>
        </w:rPr>
        <w:t>商务标评审：公开唱标</w:t>
      </w:r>
      <w:r>
        <w:rPr>
          <w:rFonts w:hint="eastAsia" w:ascii="宋体" w:hAnsi="宋体" w:eastAsia="宋体" w:cs="Segoe UI Emoji"/>
          <w:b/>
          <w:sz w:val="24"/>
          <w:szCs w:val="24"/>
        </w:rPr>
        <w:t>→</w:t>
      </w:r>
      <w:r>
        <w:rPr>
          <w:rFonts w:hint="eastAsia" w:ascii="宋体" w:hAnsi="宋体" w:eastAsia="宋体" w:cs="Times New Roman"/>
          <w:b/>
          <w:sz w:val="24"/>
          <w:szCs w:val="24"/>
        </w:rPr>
        <w:t>商务条款相应确认</w:t>
      </w:r>
      <w:r>
        <w:rPr>
          <w:rFonts w:hint="eastAsia" w:ascii="宋体" w:hAnsi="宋体" w:eastAsia="宋体" w:cs="Segoe UI Emoji"/>
          <w:b/>
          <w:sz w:val="24"/>
          <w:szCs w:val="24"/>
        </w:rPr>
        <w:t>→价格澄清→</w:t>
      </w:r>
      <w:r>
        <w:rPr>
          <w:rFonts w:hint="eastAsia" w:ascii="宋体" w:hAnsi="宋体" w:eastAsia="宋体" w:cs="Times New Roman"/>
          <w:b/>
          <w:sz w:val="24"/>
          <w:szCs w:val="24"/>
        </w:rPr>
        <w:t>商务标评审；</w:t>
      </w:r>
      <w:r>
        <w:rPr>
          <w:rFonts w:hint="eastAsia" w:hAnsi="宋体" w:eastAsia="宋体" w:cs="Times New Roman"/>
          <w:b/>
          <w:sz w:val="24"/>
          <w:szCs w:val="24"/>
        </w:rPr>
        <w:t>评审期间产生的</w:t>
      </w:r>
      <w:r>
        <w:rPr>
          <w:rFonts w:hint="eastAsia" w:ascii="宋体" w:hAnsi="宋体" w:eastAsia="宋体" w:cs="Times New Roman"/>
          <w:b/>
          <w:sz w:val="24"/>
          <w:szCs w:val="24"/>
        </w:rPr>
        <w:t>商务价格澄清均由投标人在重汽e采通平台内限时完成提交；</w:t>
      </w:r>
    </w:p>
    <w:p>
      <w:pPr>
        <w:bidi w:val="0"/>
        <w:ind w:firstLine="420" w:firstLineChars="0"/>
      </w:pPr>
      <w:r>
        <w:rPr>
          <w:rFonts w:hint="eastAsia" w:ascii="宋体" w:hAnsi="宋体" w:eastAsia="宋体" w:cs="Times New Roman"/>
          <w:b/>
          <w:sz w:val="24"/>
          <w:szCs w:val="24"/>
        </w:rPr>
        <w:t xml:space="preserve">注意：投标人均需自带笔记本电脑在重汽e采通平台自主进行投标和提交澄清函；投标和提交澄清函均有时间限制，超时未提交的按无效处理。 </w:t>
      </w:r>
      <w:r>
        <w:rPr>
          <w:rFonts w:hint="eastAsia"/>
        </w:rPr>
        <w:t xml:space="preserve"> </w:t>
      </w:r>
    </w:p>
    <w:p>
      <w:pPr>
        <w:numPr>
          <w:ilvl w:val="0"/>
          <w:numId w:val="13"/>
        </w:numPr>
        <w:spacing w:line="420" w:lineRule="exact"/>
        <w:rPr>
          <w:rFonts w:ascii="宋体" w:hAnsi="宋体" w:eastAsia="宋体" w:cs="Times New Roman"/>
          <w:b/>
          <w:sz w:val="24"/>
          <w:szCs w:val="24"/>
        </w:rPr>
      </w:pPr>
      <w:r>
        <w:rPr>
          <w:rFonts w:hint="eastAsia" w:ascii="宋体" w:hAnsi="宋体" w:eastAsia="宋体" w:cs="Times New Roman"/>
          <w:b/>
          <w:sz w:val="24"/>
          <w:szCs w:val="24"/>
        </w:rPr>
        <w:t>中标人确定：技术入围后，原则上合理最低价中标。</w:t>
      </w:r>
    </w:p>
    <w:p>
      <w:pPr>
        <w:widowControl/>
        <w:spacing w:line="360" w:lineRule="auto"/>
        <w:ind w:right="2" w:firstLine="480" w:firstLineChars="200"/>
        <w:jc w:val="left"/>
        <w:rPr>
          <w:rFonts w:ascii="Calibri" w:hAnsi="Calibri" w:eastAsia="宋体" w:cs="Times New Roman"/>
          <w:color w:val="000000"/>
          <w:sz w:val="24"/>
          <w:szCs w:val="24"/>
        </w:rPr>
      </w:pPr>
      <w:r>
        <w:rPr>
          <w:rFonts w:ascii="Calibri" w:hAnsi="Calibri" w:eastAsia="宋体"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否变更意向中标人</w:t>
      </w:r>
      <w:r>
        <w:rPr>
          <w:rFonts w:hint="eastAsia" w:ascii="Calibri" w:hAnsi="Calibri" w:eastAsia="宋体" w:cs="Times New Roman"/>
          <w:color w:val="000000"/>
          <w:sz w:val="24"/>
          <w:szCs w:val="24"/>
          <w:lang w:bidi="ar"/>
        </w:rPr>
        <w:t>。</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七、合同签订</w:t>
      </w:r>
    </w:p>
    <w:p>
      <w:pPr>
        <w:spacing w:line="360" w:lineRule="auto"/>
        <w:ind w:firstLine="480" w:firstLineChars="200"/>
        <w:rPr>
          <w:rFonts w:ascii="宋体" w:hAnsi="Courier New" w:eastAsia="宋体" w:cs="Times New Roman"/>
          <w:color w:val="000000"/>
          <w:sz w:val="24"/>
          <w:szCs w:val="24"/>
        </w:rPr>
      </w:pPr>
      <w:r>
        <w:rPr>
          <w:rFonts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.招标人根据评标工作小组的评标结果确定中标人，</w:t>
      </w:r>
      <w:r>
        <w:rPr>
          <w:rFonts w:hint="eastAsia" w:ascii="Times New Roman" w:hAnsi="Times New Roman" w:eastAsia="宋体" w:cs="Times New Roman"/>
          <w:color w:val="000000"/>
          <w:sz w:val="24"/>
          <w:szCs w:val="24"/>
        </w:rPr>
        <w:t>在中国</w:t>
      </w:r>
      <w:r>
        <w:rPr>
          <w:rFonts w:ascii="Times New Roman" w:hAnsi="Times New Roman" w:eastAsia="宋体" w:cs="Times New Roman"/>
          <w:color w:val="000000"/>
          <w:sz w:val="24"/>
          <w:szCs w:val="24"/>
        </w:rPr>
        <w:t>重汽e采通平台公布中标结果</w:t>
      </w:r>
      <w:r>
        <w:rPr>
          <w:rFonts w:hint="eastAsia" w:ascii="Times New Roman" w:hAnsi="Times New Roman" w:eastAsia="宋体" w:cs="Times New Roman"/>
          <w:color w:val="000000"/>
          <w:sz w:val="24"/>
          <w:szCs w:val="24"/>
        </w:rPr>
        <w:t>，</w:t>
      </w:r>
      <w:r>
        <w:rPr>
          <w:rFonts w:hint="eastAsia" w:ascii="宋体" w:hAnsi="Courier New" w:eastAsia="宋体" w:cs="Times New Roman"/>
          <w:color w:val="000000"/>
          <w:sz w:val="24"/>
          <w:szCs w:val="24"/>
        </w:rPr>
        <w:t>并发送中标通知。</w:t>
      </w:r>
    </w:p>
    <w:p>
      <w:pPr>
        <w:spacing w:line="360" w:lineRule="auto"/>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2.中标人应该在中标通知书规定的时间、地点与招标人签订采购合同，否则按照开标后撤回投标处理。</w:t>
      </w:r>
    </w:p>
    <w:p>
      <w:pPr>
        <w:spacing w:line="360" w:lineRule="auto"/>
        <w:ind w:firstLine="480" w:firstLineChars="200"/>
        <w:rPr>
          <w:rFonts w:ascii="宋体" w:hAnsi="宋体" w:eastAsia="宋体" w:cs="Times New Roman"/>
          <w:color w:val="000000"/>
          <w:sz w:val="24"/>
          <w:szCs w:val="24"/>
        </w:rPr>
      </w:pPr>
      <w:r>
        <w:rPr>
          <w:rFonts w:hint="eastAsia" w:ascii="Times New Roman" w:hAnsi="Times New Roman" w:eastAsia="宋体" w:cs="Times New Roman"/>
          <w:color w:val="000000"/>
          <w:sz w:val="24"/>
          <w:szCs w:val="24"/>
        </w:rPr>
        <w:t>3</w:t>
      </w:r>
      <w:r>
        <w:rPr>
          <w:rFonts w:hint="eastAsia" w:ascii="宋体" w:hAnsi="宋体" w:eastAsia="宋体" w:cs="Times New Roman"/>
          <w:color w:val="000000"/>
          <w:sz w:val="24"/>
          <w:szCs w:val="24"/>
        </w:rPr>
        <w:t>.中标人应当按照合同约定的履约责任，在保证质量的前提下完成中标项目，不得将中标项目转包或分包给他人，否则视为违约，招标人有权解除合同。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ascii="Arial" w:hAnsi="Arial" w:eastAsia="宋体" w:cs="Times New Roman"/>
          <w:b/>
          <w:bCs/>
          <w:sz w:val="24"/>
          <w:szCs w:val="24"/>
        </w:rPr>
      </w:pPr>
      <w:r>
        <w:rPr>
          <w:rFonts w:hint="eastAsia" w:ascii="宋体" w:hAnsi="Courier New" w:eastAsia="宋体" w:cs="Times New Roman"/>
          <w:b/>
          <w:sz w:val="24"/>
          <w:szCs w:val="20"/>
        </w:rPr>
        <w:t>4.中标人由于履行义务的能力或信用有严重缺陷，招标人有权取消其中标资格，招标人将从中标候选单位中依序重新确定中标人，或重新组织招标。</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八、废标及终止招标</w:t>
      </w:r>
    </w:p>
    <w:p>
      <w:pPr>
        <w:spacing w:line="360" w:lineRule="auto"/>
        <w:ind w:right="2" w:firstLine="480" w:firstLineChars="200"/>
        <w:rPr>
          <w:rFonts w:ascii="宋体" w:hAnsi="Courier New" w:eastAsia="宋体" w:cs="Times New Roman"/>
          <w:color w:val="000000"/>
          <w:sz w:val="24"/>
          <w:szCs w:val="24"/>
        </w:rPr>
      </w:pP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Courier New" w:eastAsia="宋体" w:cs="Times New Roman"/>
          <w:color w:val="000000"/>
          <w:sz w:val="24"/>
          <w:szCs w:val="24"/>
        </w:rPr>
      </w:pPr>
      <w:r>
        <w:rPr>
          <w:rFonts w:hint="eastAsia" w:ascii="宋体" w:hAnsi="Courier New" w:eastAsia="宋体" w:cs="Times New Roman"/>
          <w:color w:val="000000"/>
          <w:sz w:val="24"/>
          <w:szCs w:val="24"/>
        </w:rPr>
        <w:t xml:space="preserve">    （</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pPr>
        <w:pStyle w:val="20"/>
        <w:spacing w:line="360" w:lineRule="auto"/>
        <w:rPr>
          <w:rFonts w:eastAsia="宋体"/>
        </w:rPr>
      </w:pPr>
      <w:r>
        <w:rPr>
          <w:rFonts w:hint="eastAsia" w:eastAsia="宋体" w:cs="Times New Roman"/>
          <w:color w:val="000000"/>
          <w:sz w:val="24"/>
          <w:szCs w:val="24"/>
        </w:rPr>
        <w:t xml:space="preserve">    （</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）有效投标不足三家；</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（12）法律、法规规定的其他情况。</w:t>
      </w:r>
    </w:p>
    <w:p>
      <w:pPr>
        <w:spacing w:line="360" w:lineRule="auto"/>
        <w:ind w:right="2" w:firstLine="480" w:firstLineChars="200"/>
        <w:rPr>
          <w:rFonts w:ascii="宋体" w:hAnsi="Courier New" w:eastAsia="宋体" w:cs="Times New Roman"/>
          <w:sz w:val="24"/>
          <w:szCs w:val="24"/>
        </w:rPr>
      </w:pPr>
      <w:r>
        <w:rPr>
          <w:rFonts w:ascii="Calibri" w:hAnsi="Calibri" w:eastAsia="宋体" w:cs="Times New Roman"/>
          <w:sz w:val="24"/>
          <w:szCs w:val="24"/>
        </w:rPr>
        <w:t>2</w:t>
      </w:r>
      <w:r>
        <w:rPr>
          <w:rFonts w:hint="eastAsia" w:ascii="宋体" w:hAnsi="Courier New" w:eastAsia="宋体" w:cs="Times New Roman"/>
          <w:sz w:val="24"/>
          <w:szCs w:val="24"/>
        </w:rPr>
        <w:t>.出现下列情形之一，招标人有权否决所有投标人的投标，并终止招标。</w:t>
      </w:r>
    </w:p>
    <w:p>
      <w:pPr>
        <w:spacing w:line="360" w:lineRule="auto"/>
        <w:ind w:right="2" w:firstLine="480" w:firstLineChars="200"/>
        <w:rPr>
          <w:rFonts w:ascii="宋体" w:hAnsi="Courier New" w:eastAsia="宋体" w:cs="Times New Roman"/>
          <w:b/>
          <w:sz w:val="24"/>
          <w:szCs w:val="24"/>
        </w:rPr>
      </w:pPr>
      <w:r>
        <w:rPr>
          <w:rFonts w:hint="eastAsia" w:ascii="宋体" w:hAnsi="Courier New" w:eastAsia="宋体" w:cs="Times New Roman"/>
          <w:sz w:val="24"/>
          <w:szCs w:val="24"/>
        </w:rPr>
        <w:t>（</w:t>
      </w:r>
      <w:r>
        <w:rPr>
          <w:rFonts w:ascii="Calibri" w:hAnsi="Calibri" w:eastAsia="宋体" w:cs="Times New Roman"/>
          <w:sz w:val="24"/>
          <w:szCs w:val="24"/>
        </w:rPr>
        <w:t>1</w:t>
      </w:r>
      <w:r>
        <w:rPr>
          <w:rFonts w:hint="eastAsia" w:ascii="宋体" w:hAnsi="Courier New" w:eastAsia="宋体" w:cs="Times New Roman"/>
          <w:sz w:val="24"/>
          <w:szCs w:val="24"/>
        </w:rPr>
        <w:t>）符合条件的投标人或者对招标文件做实质响应的投标人不足三家的；</w:t>
      </w:r>
    </w:p>
    <w:p>
      <w:pPr>
        <w:spacing w:line="360" w:lineRule="auto"/>
        <w:ind w:right="2" w:firstLine="480" w:firstLineChars="200"/>
        <w:rPr>
          <w:rFonts w:ascii="宋体" w:hAnsi="Courier New" w:eastAsia="宋体" w:cs="Times New Roman"/>
          <w:sz w:val="24"/>
          <w:szCs w:val="24"/>
        </w:rPr>
      </w:pPr>
      <w:r>
        <w:rPr>
          <w:rFonts w:hint="eastAsia" w:ascii="Calibri" w:hAnsi="Calibri" w:eastAsia="宋体" w:cs="Times New Roman"/>
          <w:sz w:val="24"/>
          <w:szCs w:val="24"/>
        </w:rPr>
        <w:t>（</w:t>
      </w:r>
      <w:r>
        <w:rPr>
          <w:rFonts w:ascii="Calibri" w:hAnsi="Calibri" w:eastAsia="宋体" w:cs="Times New Roman"/>
          <w:sz w:val="24"/>
          <w:szCs w:val="24"/>
        </w:rPr>
        <w:t>2</w:t>
      </w:r>
      <w:r>
        <w:rPr>
          <w:rFonts w:hint="eastAsia" w:ascii="宋体" w:hAnsi="Courier New" w:eastAsia="宋体" w:cs="Times New Roman"/>
          <w:sz w:val="24"/>
          <w:szCs w:val="24"/>
        </w:rPr>
        <w:t>）出现影响采购公正的违法、违规行为的；</w:t>
      </w:r>
    </w:p>
    <w:p>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3</w:t>
      </w:r>
      <w:r>
        <w:rPr>
          <w:rFonts w:hint="eastAsia" w:ascii="Calibri" w:hAnsi="Calibri" w:eastAsia="宋体" w:cs="Times New Roman"/>
          <w:bCs/>
          <w:sz w:val="24"/>
          <w:szCs w:val="24"/>
        </w:rPr>
        <w:t>）评标委员会经评审，认为所有投标都不符合招标文件要求的</w:t>
      </w:r>
      <w:r>
        <w:rPr>
          <w:rFonts w:hint="eastAsia" w:ascii="宋体" w:hAnsi="Courier New" w:eastAsia="宋体" w:cs="Times New Roman"/>
          <w:bCs/>
          <w:sz w:val="24"/>
          <w:szCs w:val="24"/>
        </w:rPr>
        <w:t>；</w:t>
      </w:r>
    </w:p>
    <w:p>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4</w:t>
      </w:r>
      <w:r>
        <w:rPr>
          <w:rFonts w:hint="eastAsia" w:ascii="宋体" w:hAnsi="Courier New" w:eastAsia="宋体" w:cs="Times New Roman"/>
          <w:bCs/>
          <w:sz w:val="24"/>
          <w:szCs w:val="24"/>
        </w:rPr>
        <w:t>）因重大变故，采购任务取消的</w:t>
      </w:r>
      <w:bookmarkStart w:id="21" w:name="OLE_LINK29"/>
      <w:bookmarkStart w:id="22" w:name="OLE_LINK25"/>
      <w:bookmarkStart w:id="23" w:name="OLE_LINK28"/>
      <w:bookmarkStart w:id="24" w:name="OLE_LINK26"/>
      <w:bookmarkStart w:id="25" w:name="OLE_LINK27"/>
      <w:r>
        <w:rPr>
          <w:rFonts w:hint="eastAsia" w:ascii="宋体" w:hAnsi="Courier New" w:eastAsia="宋体" w:cs="Times New Roman"/>
          <w:bCs/>
          <w:sz w:val="24"/>
          <w:szCs w:val="24"/>
        </w:rPr>
        <w:t>；</w:t>
      </w:r>
      <w:bookmarkEnd w:id="21"/>
      <w:bookmarkEnd w:id="22"/>
      <w:bookmarkEnd w:id="23"/>
      <w:bookmarkEnd w:id="24"/>
      <w:bookmarkEnd w:id="25"/>
    </w:p>
    <w:p>
      <w:pPr>
        <w:spacing w:line="360" w:lineRule="auto"/>
        <w:ind w:right="2" w:firstLine="480" w:firstLineChars="200"/>
        <w:rPr>
          <w:rFonts w:ascii="宋体" w:hAnsi="Courier New" w:eastAsia="宋体" w:cs="Times New Roman"/>
          <w:bCs/>
          <w:sz w:val="24"/>
          <w:szCs w:val="24"/>
        </w:rPr>
      </w:pPr>
      <w:r>
        <w:rPr>
          <w:rFonts w:hint="eastAsia" w:ascii="宋体" w:hAnsi="Courier New" w:eastAsia="宋体" w:cs="Times New Roman"/>
          <w:bCs/>
          <w:sz w:val="24"/>
          <w:szCs w:val="24"/>
        </w:rPr>
        <w:t>（</w:t>
      </w:r>
      <w:r>
        <w:rPr>
          <w:rFonts w:ascii="宋体" w:hAnsi="Courier New" w:eastAsia="宋体" w:cs="Times New Roman"/>
          <w:bCs/>
          <w:sz w:val="24"/>
          <w:szCs w:val="24"/>
        </w:rPr>
        <w:t>5）投标人承诺同意由于招标人公司政策变化引起的随时终止项目的要求并承担由此带来的一切损失</w:t>
      </w:r>
      <w:r>
        <w:rPr>
          <w:rFonts w:hint="eastAsia" w:ascii="宋体" w:hAnsi="Courier New" w:eastAsia="宋体" w:cs="Times New Roman"/>
          <w:bCs/>
          <w:sz w:val="24"/>
          <w:szCs w:val="24"/>
        </w:rPr>
        <w:t>；</w:t>
      </w:r>
    </w:p>
    <w:p>
      <w:pPr>
        <w:pStyle w:val="20"/>
        <w:spacing w:line="360" w:lineRule="auto"/>
        <w:ind w:firstLine="480" w:firstLineChars="200"/>
        <w:rPr>
          <w:rFonts w:eastAsia="宋体" w:cs="Times New Roman"/>
          <w:bCs/>
          <w:sz w:val="24"/>
          <w:szCs w:val="24"/>
        </w:rPr>
      </w:pPr>
      <w:r>
        <w:rPr>
          <w:rFonts w:hint="eastAsia" w:eastAsia="宋体" w:cs="Times New Roman"/>
          <w:bCs/>
          <w:sz w:val="24"/>
          <w:szCs w:val="24"/>
        </w:rPr>
        <w:t>（6</w:t>
      </w:r>
      <w:r>
        <w:rPr>
          <w:rFonts w:eastAsia="宋体" w:cs="Times New Roman"/>
          <w:bCs/>
          <w:sz w:val="24"/>
          <w:szCs w:val="24"/>
        </w:rPr>
        <w:t>）招标人认为其他应终止招标的情形</w:t>
      </w:r>
      <w:r>
        <w:rPr>
          <w:rFonts w:hint="eastAsia" w:eastAsia="宋体" w:cs="Times New Roman"/>
          <w:bCs/>
          <w:sz w:val="24"/>
          <w:szCs w:val="24"/>
        </w:rPr>
        <w:t>。</w:t>
      </w:r>
    </w:p>
    <w:p>
      <w:pPr>
        <w:spacing w:line="360" w:lineRule="auto"/>
        <w:ind w:right="2"/>
        <w:rPr>
          <w:rFonts w:ascii="Arial" w:hAnsi="Arial" w:eastAsia="宋体" w:cs="Times New Roman"/>
          <w:b/>
          <w:bCs/>
          <w:sz w:val="24"/>
          <w:szCs w:val="32"/>
        </w:rPr>
      </w:pPr>
      <w:r>
        <w:rPr>
          <w:rFonts w:hint="eastAsia" w:ascii="Calibri" w:hAnsi="Calibri" w:eastAsia="宋体" w:cs="Times New Roman"/>
          <w:color w:val="000000"/>
          <w:sz w:val="24"/>
          <w:szCs w:val="24"/>
        </w:rPr>
        <w:t xml:space="preserve">    </w:t>
      </w:r>
      <w:r>
        <w:rPr>
          <w:rFonts w:ascii="Calibri" w:hAnsi="Calibri" w:eastAsia="宋体" w:cs="Times New Roman"/>
          <w:color w:val="000000"/>
          <w:sz w:val="24"/>
          <w:szCs w:val="24"/>
        </w:rPr>
        <w:t>3</w:t>
      </w:r>
      <w:r>
        <w:rPr>
          <w:rFonts w:hint="eastAsia" w:ascii="Calibri" w:hAnsi="Calibri" w:eastAsia="宋体" w:cs="Times New Roman"/>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rPr>
          <w:rFonts w:ascii="Calibri" w:hAnsi="Calibri" w:eastAsia="宋体" w:cs="Times New Roman"/>
          <w:b/>
          <w:color w:val="000000"/>
          <w:sz w:val="24"/>
          <w:szCs w:val="24"/>
        </w:rPr>
      </w:pPr>
      <w:r>
        <w:rPr>
          <w:rFonts w:hint="eastAsia" w:ascii="Arial" w:hAnsi="Arial" w:eastAsia="宋体" w:cs="Times New Roman"/>
          <w:b/>
          <w:bCs/>
          <w:sz w:val="24"/>
          <w:szCs w:val="32"/>
        </w:rPr>
        <w:t>九、本次招标最终解释权</w:t>
      </w:r>
      <w:r>
        <w:rPr>
          <w:rFonts w:hint="eastAsia" w:ascii="Calibri" w:hAnsi="Calibri" w:eastAsia="宋体" w:cs="Times New Roman"/>
          <w:b/>
          <w:color w:val="000000"/>
          <w:sz w:val="24"/>
          <w:szCs w:val="24"/>
        </w:rPr>
        <w:t>归中国重汽集团济南动力有限公司。</w:t>
      </w:r>
    </w:p>
    <w:p>
      <w:pPr>
        <w:pStyle w:val="20"/>
        <w:jc w:val="center"/>
        <w:rPr>
          <w:rFonts w:ascii="Calibri" w:hAnsi="Calibri" w:eastAsia="宋体" w:cs="Times New Roman"/>
          <w:b/>
          <w:bCs/>
          <w:kern w:val="44"/>
          <w:sz w:val="36"/>
          <w:szCs w:val="44"/>
        </w:rPr>
        <w:sectPr>
          <w:pgSz w:w="11907" w:h="16840"/>
          <w:pgMar w:top="1304" w:right="1418" w:bottom="1304" w:left="1418" w:header="724" w:footer="851" w:gutter="0"/>
          <w:pgNumType w:start="7"/>
          <w:cols w:space="720" w:num="1"/>
          <w:docGrid w:linePitch="290" w:charSpace="-3931"/>
        </w:sectPr>
      </w:pPr>
    </w:p>
    <w:p>
      <w:pPr>
        <w:pStyle w:val="20"/>
        <w:numPr>
          <w:ilvl w:val="255"/>
          <w:numId w:val="0"/>
        </w:numPr>
        <w:jc w:val="center"/>
        <w:outlineLvl w:val="0"/>
        <w:rPr>
          <w:rFonts w:ascii="Calibri" w:hAnsi="Calibri" w:eastAsia="宋体" w:cs="Times New Roman"/>
          <w:b/>
          <w:bCs/>
          <w:kern w:val="44"/>
          <w:sz w:val="36"/>
          <w:szCs w:val="44"/>
        </w:rPr>
      </w:pPr>
      <w:bookmarkStart w:id="26" w:name="_Toc22879"/>
      <w:r>
        <w:rPr>
          <w:rFonts w:hint="eastAsia" w:ascii="Calibri" w:hAnsi="Calibri" w:eastAsia="宋体" w:cs="Times New Roman"/>
          <w:b/>
          <w:bCs/>
          <w:kern w:val="44"/>
          <w:sz w:val="36"/>
          <w:szCs w:val="44"/>
        </w:rPr>
        <w:t>第三部分 投标文件编制</w:t>
      </w:r>
      <w:bookmarkEnd w:id="26"/>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一、投标文件的编制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1投标人须认真阅读招标文件的所有内容，按招标文件的要求提供投标文件，并保证提供的全部资料的真实性，以使其投标对招标文件作出实质性响应，否则，其投标将被拒绝。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2投标文件和与投标有关的所有文件均应使用中文。</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二、投标文件资料</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1投标人所投标设备详细技术资料清单，在投标文件中列示说明；</w:t>
      </w:r>
    </w:p>
    <w:p>
      <w:pPr>
        <w:spacing w:line="360" w:lineRule="auto"/>
        <w:ind w:firstLine="480" w:firstLineChars="200"/>
        <w:rPr>
          <w:rFonts w:ascii="宋体" w:hAnsi="Courier New" w:eastAsia="宋体" w:cs="Times New Roman"/>
          <w:color w:val="000000"/>
          <w:sz w:val="24"/>
          <w:szCs w:val="24"/>
        </w:rPr>
      </w:pPr>
      <w:r>
        <w:rPr>
          <w:rFonts w:hint="eastAsia" w:ascii="宋体" w:hAnsi="宋体" w:eastAsia="宋体" w:cs="Times New Roman"/>
          <w:color w:val="000000"/>
          <w:sz w:val="24"/>
          <w:szCs w:val="24"/>
        </w:rPr>
        <w:t>2投标人完整的技术支持与售后服务实施方案，在投标文件中列示说明，包含但不</w:t>
      </w:r>
      <w:r>
        <w:rPr>
          <w:rFonts w:hint="eastAsia" w:ascii="宋体" w:hAnsi="Courier New" w:eastAsia="宋体" w:cs="Times New Roman"/>
          <w:color w:val="000000"/>
          <w:sz w:val="24"/>
          <w:szCs w:val="24"/>
        </w:rPr>
        <w:t>限于以下内容：</w:t>
      </w:r>
    </w:p>
    <w:p>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A</w:t>
      </w:r>
      <w:r>
        <w:rPr>
          <w:rFonts w:hint="eastAsia" w:ascii="宋体" w:hAnsi="Courier New" w:eastAsia="宋体" w:cs="Times New Roman"/>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B</w:t>
      </w:r>
      <w:r>
        <w:rPr>
          <w:rFonts w:hint="eastAsia" w:ascii="宋体" w:hAnsi="Courier New" w:eastAsia="宋体" w:cs="Times New Roman"/>
          <w:color w:val="000000"/>
          <w:sz w:val="24"/>
          <w:szCs w:val="24"/>
        </w:rPr>
        <w:t>、售后服务机构或网点（名称、地址、联系人、电话）。</w:t>
      </w:r>
    </w:p>
    <w:p>
      <w:pPr>
        <w:spacing w:line="360" w:lineRule="auto"/>
        <w:ind w:firstLine="480" w:firstLineChars="200"/>
        <w:rPr>
          <w:rFonts w:ascii="宋体" w:hAnsi="Courier New" w:eastAsia="宋体" w:cs="Times New Roman"/>
          <w:bCs/>
          <w:color w:val="000000"/>
          <w:sz w:val="24"/>
          <w:szCs w:val="24"/>
        </w:rPr>
      </w:pPr>
      <w:r>
        <w:rPr>
          <w:rFonts w:ascii="宋体" w:hAnsi="Courier New" w:eastAsia="宋体" w:cs="Times New Roman"/>
          <w:bCs/>
          <w:color w:val="000000"/>
          <w:sz w:val="24"/>
          <w:szCs w:val="24"/>
        </w:rPr>
        <w:t>C</w:t>
      </w:r>
      <w:r>
        <w:rPr>
          <w:rFonts w:hint="eastAsia" w:ascii="宋体" w:hAnsi="Courier New" w:eastAsia="宋体" w:cs="Times New Roman"/>
          <w:bCs/>
          <w:color w:val="000000"/>
          <w:sz w:val="24"/>
          <w:szCs w:val="24"/>
        </w:rPr>
        <w:t>、针对本项目的技术服务团队情况（人员数量、姓名、电话、专业资质等）。</w:t>
      </w:r>
    </w:p>
    <w:p>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D</w:t>
      </w:r>
      <w:r>
        <w:rPr>
          <w:rFonts w:hint="eastAsia" w:ascii="宋体" w:hAnsi="Courier New" w:eastAsia="宋体" w:cs="Times New Roman"/>
          <w:color w:val="000000"/>
          <w:sz w:val="24"/>
          <w:szCs w:val="24"/>
        </w:rPr>
        <w:t>、日常维护保养及故障排除措施保证。</w:t>
      </w:r>
    </w:p>
    <w:p>
      <w:pPr>
        <w:spacing w:line="360" w:lineRule="auto"/>
        <w:ind w:firstLine="480" w:firstLineChars="200"/>
      </w:pPr>
      <w:r>
        <w:rPr>
          <w:rFonts w:hint="eastAsia" w:ascii="宋体" w:hAnsi="宋体" w:eastAsia="宋体" w:cs="Times New Roman"/>
          <w:color w:val="000000"/>
          <w:sz w:val="24"/>
          <w:szCs w:val="24"/>
        </w:rPr>
        <w:t>3投标人关于包装、运输、检验、交付、安装、调试、培训等方案，均需在投标文件</w:t>
      </w:r>
      <w:r>
        <w:rPr>
          <w:rFonts w:hint="eastAsia" w:ascii="宋体" w:hAnsi="Courier New" w:eastAsia="宋体" w:cs="Times New Roman"/>
          <w:color w:val="000000"/>
          <w:sz w:val="24"/>
          <w:szCs w:val="24"/>
        </w:rPr>
        <w:t>中列示说明。</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三、投标文件的组成</w:t>
      </w:r>
    </w:p>
    <w:p>
      <w:pPr>
        <w:spacing w:line="360" w:lineRule="auto"/>
        <w:ind w:firstLine="480" w:firstLineChars="200"/>
        <w:rPr>
          <w:rFonts w:ascii="宋体" w:hAnsi="Courier New" w:eastAsia="宋体" w:cs="Times New Roman"/>
          <w:bCs/>
          <w:color w:val="000000"/>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w:t>
      </w:r>
      <w:r>
        <w:rPr>
          <w:rFonts w:hint="eastAsia" w:ascii="宋体" w:hAnsi="宋体" w:eastAsia="宋体" w:cs="宋体"/>
          <w:bCs/>
          <w:sz w:val="24"/>
          <w:szCs w:val="24"/>
        </w:rPr>
        <w:t>3</w:t>
      </w:r>
      <w:r>
        <w:rPr>
          <w:rFonts w:hint="eastAsia" w:ascii="宋体" w:hAnsi="Courier New" w:eastAsia="宋体" w:cs="Times New Roman"/>
          <w:bCs/>
          <w:color w:val="000000"/>
          <w:sz w:val="24"/>
          <w:szCs w:val="24"/>
        </w:rPr>
        <w:t>个文件。</w:t>
      </w:r>
    </w:p>
    <w:p>
      <w:pPr>
        <w:spacing w:line="360" w:lineRule="auto"/>
        <w:ind w:firstLine="482" w:firstLineChars="200"/>
        <w:rPr>
          <w:rFonts w:ascii="宋体" w:hAnsi="Courier New" w:eastAsia="宋体" w:cs="Times New Roman"/>
          <w:bCs/>
          <w:color w:val="000000"/>
          <w:sz w:val="24"/>
          <w:szCs w:val="24"/>
        </w:rPr>
      </w:pPr>
      <w:r>
        <w:rPr>
          <w:rFonts w:hint="eastAsia" w:ascii="宋体" w:hAnsi="Courier New" w:eastAsia="宋体" w:cs="Times New Roman"/>
          <w:b/>
          <w:color w:val="000000"/>
          <w:sz w:val="24"/>
          <w:szCs w:val="24"/>
        </w:rPr>
        <w:t>投标文件的份数要求及投递方式</w:t>
      </w:r>
      <w:r>
        <w:rPr>
          <w:rFonts w:hint="eastAsia" w:ascii="宋体" w:hAnsi="Courier New" w:eastAsia="宋体" w:cs="Times New Roman"/>
          <w:bCs/>
          <w:color w:val="000000"/>
          <w:sz w:val="24"/>
          <w:szCs w:val="24"/>
        </w:rPr>
        <w:t>，见《投标须知前附表》第3条。</w:t>
      </w:r>
    </w:p>
    <w:p>
      <w:pPr>
        <w:spacing w:line="360" w:lineRule="auto"/>
        <w:ind w:firstLine="480" w:firstLineChars="200"/>
        <w:rPr>
          <w:rFonts w:ascii="宋体" w:hAnsi="Courier New" w:eastAsia="宋体" w:cs="Times New Roman"/>
          <w:bCs/>
          <w:color w:val="000000"/>
          <w:sz w:val="24"/>
          <w:szCs w:val="24"/>
        </w:rPr>
      </w:pPr>
      <w:r>
        <w:rPr>
          <w:rFonts w:hint="eastAsia" w:ascii="宋体" w:hAnsi="Courier New" w:eastAsia="宋体" w:cs="Times New Roman"/>
          <w:bCs/>
          <w:color w:val="000000"/>
          <w:sz w:val="24"/>
          <w:szCs w:val="24"/>
        </w:rPr>
        <w:t>详见附件格式1—14，其余未尽事宜请按各单位习惯制定即可。</w:t>
      </w:r>
    </w:p>
    <w:p>
      <w:pPr>
        <w:spacing w:line="360" w:lineRule="auto"/>
        <w:ind w:firstLine="482" w:firstLineChars="200"/>
        <w:rPr>
          <w:rFonts w:ascii="宋体" w:hAnsi="宋体" w:eastAsia="宋体" w:cs="Times New Roman"/>
          <w:color w:val="000000"/>
          <w:sz w:val="24"/>
          <w:szCs w:val="24"/>
        </w:rPr>
      </w:pPr>
      <w:r>
        <w:rPr>
          <w:rFonts w:ascii="宋体" w:hAnsi="宋体" w:eastAsia="宋体" w:cs="Times New Roman"/>
          <w:b/>
          <w:bCs/>
          <w:sz w:val="24"/>
          <w:szCs w:val="20"/>
        </w:rPr>
        <w:t xml:space="preserve">1 </w:t>
      </w:r>
      <w:r>
        <w:rPr>
          <w:rFonts w:hint="eastAsia" w:ascii="宋体" w:hAnsi="宋体" w:eastAsia="宋体" w:cs="Times New Roman"/>
          <w:b/>
          <w:bCs/>
          <w:sz w:val="24"/>
          <w:szCs w:val="20"/>
        </w:rPr>
        <w:t>《投标文件（资质标）》包括</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bookmarkStart w:id="27" w:name="_Toc212369515"/>
      <w:r>
        <w:rPr>
          <w:rFonts w:hint="eastAsia" w:ascii="宋体" w:hAnsi="宋体" w:eastAsia="宋体" w:cs="Times New Roman"/>
          <w:color w:val="000000"/>
          <w:sz w:val="24"/>
          <w:szCs w:val="24"/>
        </w:rPr>
        <w:t>1.1营业执照副本复印件（需加盖公章）；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1.2投标函（附件1）；</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1.3法定代表人授权书（附件2）；法定代表人参加投标的，提供法人身份证明文件即可；被授权人参加投标的，需提供法定代表人授权委托书（含法人身份证和被授权人身份证正反面复印件）和被授权人近6个月及以上在授权单位的社保缴纳证明；</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1.4近三年经第三方机构审计的财务报表（报告页、资产负债表、损益表、现金流量表）复印件（需加盖公章），必须连续，同时填写投标人基本情况表（附件3）；</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1.5近三年内在经营活动中无与本项目有关的违法及重大违规行为的声明；</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1.6投标人在国家企业信用信息公示系统中无与本项目有关的行政处罚、经营异常和失信信息的声明；（附投标当日系统内相关截图）</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1.7企业对外担保说明（写明贵单位对外有无对外担保和质押业务，需加盖公章）；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1.8企业信用证明材料（征信中心出具的信用报告）；</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1.9代理商投标要携带生产商的授权书、原厂售后服务承诺书，根据实际情况提供即可，无格式限制（包括所代理品牌的针对本项目的唯一授权书）；</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1.10企业最近半年的完税证明，并附年度纳税信用评价信息（可从电子税务局查询截图，需加盖公章）；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1.11保密承诺函（附件4）；</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1.12 2022年1月1日至今，企业近三年同类项目业绩证明，须提供用户清单、采购合同复印件；</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1.13投标保证金缴纳凭证，同时正文描述付款账号、户名、开户行名称、开户行行号、保证金金额。</w:t>
      </w:r>
    </w:p>
    <w:p>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 xml:space="preserve">2 </w:t>
      </w:r>
      <w:r>
        <w:rPr>
          <w:rFonts w:hint="eastAsia" w:eastAsia="宋体" w:cs="宋体"/>
          <w:b/>
          <w:sz w:val="24"/>
          <w:szCs w:val="28"/>
        </w:rPr>
        <w:t>《投标文件（技术标）》</w:t>
      </w:r>
      <w:r>
        <w:rPr>
          <w:rFonts w:hint="eastAsia" w:ascii="宋体" w:hAnsi="宋体" w:eastAsia="宋体" w:cs="Times New Roman"/>
          <w:b/>
          <w:bCs/>
          <w:sz w:val="24"/>
          <w:szCs w:val="20"/>
        </w:rPr>
        <w:t>：</w:t>
      </w:r>
      <w:bookmarkEnd w:id="27"/>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2.1技术规格偏离表（附件5），</w:t>
      </w:r>
      <w:r>
        <w:rPr>
          <w:rFonts w:hint="eastAsia" w:ascii="宋体" w:hAnsi="宋体" w:eastAsia="宋体" w:cs="Times New Roman"/>
          <w:b/>
          <w:color w:val="000000"/>
          <w:sz w:val="24"/>
          <w:szCs w:val="24"/>
        </w:rPr>
        <w:t>必须先进行两列要求一一对照，不允许直接写无偏离；</w:t>
      </w:r>
    </w:p>
    <w:p>
      <w:pPr>
        <w:spacing w:line="360" w:lineRule="auto"/>
        <w:ind w:firstLine="480" w:firstLineChars="200"/>
        <w:rPr>
          <w:rFonts w:ascii="宋体" w:hAnsi="宋体" w:eastAsia="宋体" w:cs="Times New Roman"/>
          <w:b/>
          <w:color w:val="000000"/>
          <w:sz w:val="24"/>
          <w:szCs w:val="24"/>
          <w:highlight w:val="green"/>
        </w:rPr>
      </w:pPr>
      <w:r>
        <w:rPr>
          <w:rFonts w:hint="eastAsia" w:ascii="宋体" w:hAnsi="宋体" w:eastAsia="宋体" w:cs="Times New Roman"/>
          <w:bCs/>
          <w:color w:val="000000"/>
          <w:sz w:val="24"/>
          <w:szCs w:val="24"/>
        </w:rPr>
        <w:t>2.2</w:t>
      </w:r>
      <w:r>
        <w:rPr>
          <w:rFonts w:hint="eastAsia" w:ascii="宋体" w:hAnsi="宋体" w:eastAsia="宋体" w:cs="Times New Roman"/>
          <w:color w:val="000000"/>
          <w:sz w:val="24"/>
          <w:szCs w:val="24"/>
        </w:rPr>
        <w:t>近三年同类项目业绩一览表（附件6）及有效合同复印件</w:t>
      </w:r>
      <w:r>
        <w:rPr>
          <w:rFonts w:hint="eastAsia" w:ascii="宋体" w:hAnsi="宋体" w:eastAsia="宋体" w:cs="Times New Roman"/>
          <w:color w:val="000000"/>
          <w:sz w:val="24"/>
          <w:szCs w:val="24"/>
          <w:highlight w:val="none"/>
        </w:rPr>
        <w:t>，</w:t>
      </w:r>
      <w:r>
        <w:rPr>
          <w:rFonts w:hint="eastAsia" w:ascii="宋体" w:hAnsi="宋体" w:eastAsia="宋体" w:cs="Times New Roman"/>
          <w:b/>
          <w:color w:val="000000"/>
          <w:sz w:val="24"/>
          <w:szCs w:val="24"/>
          <w:highlight w:val="none"/>
        </w:rPr>
        <w:t>若未提供相应业绩证明，根据技术标评分规则，将影响现场评标专家组对投标单位业绩判定打分；</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2.3供货期及保证措施；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2.4产品的技术服务和售后服务内容及措施；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2.5交货进度及计划；</w:t>
      </w:r>
    </w:p>
    <w:p>
      <w:pPr>
        <w:spacing w:line="360" w:lineRule="auto"/>
        <w:ind w:firstLine="480" w:firstLineChars="200"/>
        <w:rPr>
          <w:rFonts w:ascii="宋体" w:hAnsi="宋体" w:eastAsia="宋体" w:cs="Times New Roman"/>
          <w:color w:val="000000"/>
          <w:sz w:val="24"/>
          <w:szCs w:val="24"/>
        </w:rPr>
      </w:pPr>
      <w:bookmarkStart w:id="28" w:name="_Toc536542319"/>
      <w:r>
        <w:rPr>
          <w:rFonts w:hint="eastAsia" w:ascii="宋体" w:hAnsi="宋体" w:eastAsia="宋体" w:cs="Times New Roman"/>
          <w:color w:val="000000"/>
          <w:sz w:val="24"/>
          <w:szCs w:val="24"/>
        </w:rPr>
        <w:t>2.6投标产品技术支持材料</w:t>
      </w:r>
      <w:bookmarkEnd w:id="28"/>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2.7设备质量承诺函（附件7）；</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2.8投标人需提交的其它资料。</w:t>
      </w:r>
    </w:p>
    <w:p>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3</w:t>
      </w:r>
      <w:r>
        <w:rPr>
          <w:rFonts w:hint="eastAsia" w:ascii="宋体" w:hAnsi="宋体" w:eastAsia="宋体" w:cs="Times New Roman"/>
          <w:b/>
          <w:bCs/>
          <w:sz w:val="24"/>
          <w:szCs w:val="20"/>
        </w:rPr>
        <w:t xml:space="preserve"> </w:t>
      </w:r>
      <w:r>
        <w:rPr>
          <w:rFonts w:hint="eastAsia" w:eastAsia="宋体" w:cs="宋体"/>
          <w:b/>
          <w:sz w:val="24"/>
          <w:szCs w:val="28"/>
        </w:rPr>
        <w:t>《投标文件（商务标）》（开标一览表）</w:t>
      </w:r>
      <w:r>
        <w:rPr>
          <w:rFonts w:hint="eastAsia" w:ascii="宋体" w:hAnsi="宋体" w:eastAsia="宋体" w:cs="Times New Roman"/>
          <w:b/>
          <w:bCs/>
          <w:sz w:val="24"/>
          <w:szCs w:val="20"/>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3.1开标一览表（附件8）；</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3.2投标报价明细表（附件9-1至9-5）</w:t>
      </w:r>
      <w:r>
        <w:rPr>
          <w:rFonts w:hint="eastAsia" w:ascii="宋体" w:hAnsi="宋体" w:eastAsia="宋体" w:cs="Times New Roman"/>
          <w:b/>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3.3商务条款偏离表（附件10）</w:t>
      </w:r>
      <w:bookmarkStart w:id="29" w:name="OLE_LINK19"/>
      <w:bookmarkStart w:id="30" w:name="OLE_LINK18"/>
      <w:r>
        <w:rPr>
          <w:rFonts w:hint="eastAsia" w:ascii="宋体" w:hAnsi="宋体" w:eastAsia="宋体" w:cs="Times New Roman"/>
          <w:b/>
          <w:color w:val="000000"/>
          <w:sz w:val="24"/>
          <w:szCs w:val="24"/>
        </w:rPr>
        <w:t>；</w:t>
      </w:r>
      <w:bookmarkEnd w:id="29"/>
      <w:bookmarkEnd w:id="30"/>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3.4</w:t>
      </w:r>
      <w:r>
        <w:rPr>
          <w:rFonts w:hint="eastAsia" w:ascii="Times New Roman" w:hAnsi="Times New Roman" w:eastAsia="宋体" w:cs="Times New Roman"/>
          <w:color w:val="000000"/>
          <w:sz w:val="24"/>
          <w:szCs w:val="24"/>
        </w:rPr>
        <w:t>投标人承诺（</w:t>
      </w:r>
      <w:r>
        <w:rPr>
          <w:rFonts w:hint="eastAsia" w:ascii="宋体" w:hAnsi="宋体" w:eastAsia="宋体" w:cs="Times New Roman"/>
          <w:color w:val="000000"/>
          <w:sz w:val="24"/>
          <w:szCs w:val="24"/>
        </w:rPr>
        <w:t>附件11</w:t>
      </w:r>
      <w:r>
        <w:rPr>
          <w:rFonts w:hint="eastAsia" w:ascii="Times New Roman" w:hAnsi="Times New Roman" w:eastAsia="宋体" w:cs="Times New Roman"/>
          <w:color w:val="000000"/>
          <w:sz w:val="24"/>
          <w:szCs w:val="24"/>
        </w:rPr>
        <w:t>）</w:t>
      </w:r>
      <w:r>
        <w:rPr>
          <w:rFonts w:hint="eastAsia" w:ascii="宋体" w:hAnsi="宋体" w:eastAsia="宋体" w:cs="Times New Roman"/>
          <w:color w:val="000000"/>
          <w:sz w:val="24"/>
          <w:szCs w:val="24"/>
        </w:rPr>
        <w:t>，</w:t>
      </w:r>
      <w:r>
        <w:rPr>
          <w:rFonts w:hint="eastAsia" w:ascii="宋体" w:hAnsi="宋体" w:eastAsia="宋体" w:cs="Times New Roman"/>
          <w:b/>
          <w:color w:val="000000"/>
          <w:sz w:val="24"/>
          <w:szCs w:val="24"/>
        </w:rPr>
        <w:t>需写明质保期以外服务费用情况；</w:t>
      </w:r>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3.5服务承诺函（附件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2）；</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3.6按招标文件投标人须知和技术规格书中要求提供的有关文件。</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四、投标文件格式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详见第六部分投标文件附件格式</w:t>
      </w:r>
      <w:r>
        <w:rPr>
          <w:rFonts w:ascii="Times New Roman" w:hAnsi="Times New Roman" w:eastAsia="宋体" w:cs="Times New Roman"/>
          <w:color w:val="000000"/>
          <w:sz w:val="24"/>
          <w:szCs w:val="24"/>
        </w:rPr>
        <w:t>1—1</w:t>
      </w:r>
      <w:r>
        <w:rPr>
          <w:rFonts w:hint="eastAsia" w:ascii="Times New Roman" w:hAnsi="Times New Roman" w:eastAsia="宋体" w:cs="Times New Roman"/>
          <w:color w:val="000000"/>
          <w:sz w:val="24"/>
          <w:szCs w:val="24"/>
        </w:rPr>
        <w:t>4</w:t>
      </w:r>
      <w:r>
        <w:rPr>
          <w:rFonts w:hint="eastAsia" w:ascii="宋体" w:hAnsi="宋体" w:eastAsia="宋体" w:cs="Times New Roman"/>
          <w:color w:val="000000"/>
          <w:sz w:val="24"/>
          <w:szCs w:val="24"/>
        </w:rPr>
        <w:t>，其余未尽事宜请按各投标人习惯制定即可。</w:t>
      </w:r>
    </w:p>
    <w:p>
      <w:pPr>
        <w:pStyle w:val="20"/>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p>
      <w:pPr>
        <w:keepNext/>
        <w:keepLines/>
        <w:jc w:val="center"/>
        <w:outlineLvl w:val="0"/>
        <w:rPr>
          <w:rFonts w:ascii="Times New Roman" w:hAnsi="Times New Roman" w:eastAsia="宋体" w:cs="Times New Roman"/>
          <w:b/>
          <w:bCs/>
          <w:kern w:val="44"/>
          <w:sz w:val="36"/>
          <w:szCs w:val="44"/>
        </w:rPr>
      </w:pPr>
      <w:r>
        <w:rPr>
          <w:rFonts w:hint="eastAsia" w:ascii="Times New Roman" w:hAnsi="Times New Roman" w:eastAsia="宋体" w:cs="Times New Roman"/>
          <w:b/>
          <w:bCs/>
          <w:kern w:val="44"/>
          <w:sz w:val="36"/>
          <w:szCs w:val="44"/>
        </w:rPr>
        <w:t>第四部分 技术标书</w:t>
      </w:r>
      <w:bookmarkEnd w:id="0"/>
    </w:p>
    <w:p>
      <w:pPr>
        <w:pStyle w:val="20"/>
        <w:rPr>
          <w:rFonts w:ascii="Times New Roman" w:hAnsi="Times New Roman"/>
        </w:rPr>
      </w:pPr>
    </w:p>
    <w:p>
      <w:pPr>
        <w:keepNext/>
        <w:keepLines/>
        <w:jc w:val="center"/>
        <w:rPr>
          <w:rFonts w:ascii="Times New Roman" w:hAnsi="Times New Roman" w:eastAsia="宋体" w:cs="Times New Roman"/>
          <w:b/>
          <w:bCs/>
          <w:color w:val="000000"/>
          <w:spacing w:val="-8"/>
          <w:sz w:val="48"/>
          <w:szCs w:val="44"/>
        </w:rPr>
      </w:pPr>
      <w:r>
        <w:rPr>
          <w:rFonts w:hint="eastAsia" w:ascii="Times New Roman" w:hAnsi="Times New Roman" w:eastAsia="宋体" w:cs="Times New Roman"/>
          <w:b/>
          <w:bCs/>
          <w:color w:val="000000"/>
          <w:spacing w:val="-8"/>
          <w:sz w:val="48"/>
          <w:szCs w:val="44"/>
        </w:rPr>
        <w:t>中国重汽集团济南动力有限公司</w:t>
      </w:r>
    </w:p>
    <w:p>
      <w:pPr>
        <w:spacing w:line="276" w:lineRule="auto"/>
        <w:jc w:val="center"/>
        <w:rPr>
          <w:rFonts w:ascii="Times New Roman" w:hAnsi="Times New Roman" w:eastAsia="宋体" w:cs="Times New Roman"/>
          <w:b/>
          <w:bCs/>
          <w:color w:val="000000"/>
          <w:spacing w:val="-8"/>
          <w:sz w:val="48"/>
          <w:szCs w:val="44"/>
        </w:rPr>
      </w:pPr>
      <w:r>
        <w:rPr>
          <w:rFonts w:hint="eastAsia" w:ascii="Times New Roman" w:hAnsi="Times New Roman" w:eastAsia="宋体" w:cs="Times New Roman"/>
          <w:b/>
          <w:bCs/>
          <w:color w:val="000000"/>
          <w:spacing w:val="-8"/>
          <w:sz w:val="48"/>
          <w:szCs w:val="44"/>
        </w:rPr>
        <w:t>桌面HIL台架</w:t>
      </w:r>
      <w:r>
        <w:rPr>
          <w:rFonts w:hint="eastAsia" w:ascii="Times New Roman" w:hAnsi="Times New Roman" w:eastAsia="宋体" w:cs="Times New Roman"/>
          <w:b/>
          <w:bCs/>
          <w:spacing w:val="-8"/>
          <w:sz w:val="48"/>
          <w:szCs w:val="44"/>
          <w:lang w:val="en-US" w:eastAsia="zh-CN"/>
        </w:rPr>
        <w:t>招标</w:t>
      </w:r>
      <w:r>
        <w:rPr>
          <w:rFonts w:hint="eastAsia" w:ascii="Times New Roman" w:hAnsi="Times New Roman" w:eastAsia="宋体" w:cs="Times New Roman"/>
          <w:b/>
          <w:bCs/>
          <w:spacing w:val="-8"/>
          <w:sz w:val="48"/>
          <w:szCs w:val="44"/>
        </w:rPr>
        <w:t>项目</w:t>
      </w:r>
    </w:p>
    <w:p>
      <w:pPr>
        <w:jc w:val="right"/>
        <w:rPr>
          <w:rFonts w:ascii="Times New Roman" w:hAnsi="Times New Roman" w:eastAsia="宋体" w:cs="Times New Roman"/>
          <w:color w:val="000000"/>
          <w:sz w:val="28"/>
          <w:szCs w:val="28"/>
        </w:rPr>
      </w:pPr>
    </w:p>
    <w:p>
      <w:pPr>
        <w:pStyle w:val="20"/>
        <w:rPr>
          <w:rFonts w:ascii="Times New Roman" w:hAnsi="Times New Roman"/>
        </w:rPr>
      </w:pPr>
    </w:p>
    <w:p>
      <w:pPr>
        <w:jc w:val="center"/>
        <w:rPr>
          <w:rFonts w:hint="eastAsia" w:ascii="Times New Roman" w:hAnsi="Times New Roman" w:eastAsia="黑体" w:cs="Times New Roman"/>
          <w:color w:val="000000"/>
          <w:sz w:val="72"/>
          <w:szCs w:val="72"/>
        </w:rPr>
      </w:pPr>
    </w:p>
    <w:p>
      <w:pPr>
        <w:jc w:val="center"/>
        <w:rPr>
          <w:rFonts w:hint="eastAsia" w:ascii="Times New Roman" w:hAnsi="Times New Roman" w:eastAsia="黑体" w:cs="Times New Roman"/>
          <w:color w:val="000000"/>
          <w:sz w:val="72"/>
          <w:szCs w:val="72"/>
        </w:rPr>
      </w:pPr>
    </w:p>
    <w:p>
      <w:pPr>
        <w:jc w:val="center"/>
        <w:rPr>
          <w:rFonts w:ascii="Times New Roman" w:hAnsi="Times New Roman" w:eastAsia="黑体" w:cs="Times New Roman"/>
          <w:color w:val="000000"/>
          <w:sz w:val="72"/>
          <w:szCs w:val="72"/>
        </w:rPr>
      </w:pPr>
      <w:r>
        <w:rPr>
          <w:rFonts w:hint="eastAsia" w:ascii="Times New Roman" w:hAnsi="Times New Roman" w:eastAsia="黑体" w:cs="Times New Roman"/>
          <w:color w:val="000000"/>
          <w:sz w:val="72"/>
          <w:szCs w:val="72"/>
        </w:rPr>
        <w:t>技</w:t>
      </w:r>
    </w:p>
    <w:p>
      <w:pPr>
        <w:jc w:val="center"/>
        <w:rPr>
          <w:rFonts w:ascii="Times New Roman" w:hAnsi="Times New Roman" w:eastAsia="黑体" w:cs="Times New Roman"/>
          <w:color w:val="000000"/>
          <w:sz w:val="72"/>
          <w:szCs w:val="72"/>
        </w:rPr>
      </w:pPr>
      <w:r>
        <w:rPr>
          <w:rFonts w:hint="eastAsia" w:ascii="Times New Roman" w:hAnsi="Times New Roman" w:eastAsia="黑体" w:cs="Times New Roman"/>
          <w:color w:val="000000"/>
          <w:sz w:val="72"/>
          <w:szCs w:val="72"/>
        </w:rPr>
        <w:t>术</w:t>
      </w:r>
    </w:p>
    <w:p>
      <w:pPr>
        <w:jc w:val="center"/>
        <w:rPr>
          <w:rFonts w:ascii="Times New Roman" w:hAnsi="Times New Roman" w:eastAsia="黑体" w:cs="Times New Roman"/>
          <w:color w:val="000000"/>
          <w:sz w:val="72"/>
          <w:szCs w:val="72"/>
        </w:rPr>
      </w:pPr>
      <w:r>
        <w:rPr>
          <w:rFonts w:hint="eastAsia" w:ascii="Times New Roman" w:hAnsi="Times New Roman" w:eastAsia="黑体" w:cs="Times New Roman"/>
          <w:color w:val="000000"/>
          <w:sz w:val="72"/>
          <w:szCs w:val="72"/>
        </w:rPr>
        <w:t>标</w:t>
      </w:r>
    </w:p>
    <w:p>
      <w:pPr>
        <w:jc w:val="center"/>
        <w:rPr>
          <w:rFonts w:ascii="Times New Roman" w:hAnsi="Times New Roman" w:eastAsia="黑体" w:cs="Times New Roman"/>
          <w:color w:val="000000"/>
          <w:sz w:val="72"/>
          <w:szCs w:val="72"/>
        </w:rPr>
      </w:pPr>
      <w:r>
        <w:rPr>
          <w:rFonts w:hint="eastAsia" w:ascii="Times New Roman" w:hAnsi="Times New Roman" w:eastAsia="黑体" w:cs="Times New Roman"/>
          <w:color w:val="000000"/>
          <w:sz w:val="72"/>
          <w:szCs w:val="72"/>
        </w:rPr>
        <w:t>书</w:t>
      </w:r>
    </w:p>
    <w:p>
      <w:pPr>
        <w:pStyle w:val="20"/>
        <w:rPr>
          <w:rFonts w:ascii="Times New Roman" w:hAnsi="Times New Roman" w:eastAsia="黑体" w:cs="Times New Roman"/>
          <w:color w:val="000000"/>
          <w:sz w:val="72"/>
          <w:szCs w:val="72"/>
        </w:rPr>
      </w:pPr>
    </w:p>
    <w:p>
      <w:pPr>
        <w:spacing w:line="860" w:lineRule="exact"/>
        <w:rPr>
          <w:rFonts w:hint="eastAsia" w:ascii="Times New Roman" w:hAnsi="Times New Roman" w:eastAsia="华文仿宋"/>
          <w:sz w:val="32"/>
          <w:szCs w:val="28"/>
        </w:rPr>
      </w:pPr>
      <w:r>
        <w:rPr>
          <w:rFonts w:hint="eastAsia" w:ascii="Times New Roman" w:hAnsi="Times New Roman" w:eastAsia="华文仿宋"/>
          <w:sz w:val="32"/>
          <w:szCs w:val="28"/>
        </w:rPr>
        <w:t xml:space="preserve">                </w:t>
      </w: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jc w:val="both"/>
        <w:rPr>
          <w:rFonts w:ascii="Times New Roman" w:hAnsi="Times New Roman" w:eastAsia="宋体" w:cs="Times New Roman"/>
          <w:color w:val="000000"/>
          <w:sz w:val="28"/>
          <w:szCs w:val="28"/>
        </w:rPr>
      </w:pPr>
    </w:p>
    <w:p>
      <w:pPr>
        <w:jc w:val="center"/>
        <w:rPr>
          <w:rFonts w:ascii="Times New Roman" w:hAnsi="Times New Roman" w:eastAsia="宋体" w:cs="Times New Roman"/>
          <w:color w:val="000000"/>
          <w:sz w:val="28"/>
          <w:szCs w:val="28"/>
        </w:rPr>
      </w:pPr>
      <w:r>
        <w:rPr>
          <w:rFonts w:hint="eastAsia" w:ascii="Times New Roman" w:hAnsi="Times New Roman" w:eastAsia="宋体" w:cs="Times New Roman"/>
          <w:color w:val="000000"/>
          <w:sz w:val="28"/>
          <w:szCs w:val="28"/>
        </w:rPr>
        <w:t>招</w:t>
      </w:r>
      <w:r>
        <w:rPr>
          <w:rFonts w:ascii="Times New Roman" w:hAnsi="Times New Roman" w:eastAsia="宋体" w:cs="Times New Roman"/>
          <w:color w:val="000000"/>
          <w:sz w:val="28"/>
          <w:szCs w:val="28"/>
        </w:rPr>
        <w:t xml:space="preserve"> </w:t>
      </w:r>
      <w:r>
        <w:rPr>
          <w:rFonts w:hint="eastAsia" w:ascii="Times New Roman" w:hAnsi="Times New Roman" w:eastAsia="宋体" w:cs="Times New Roman"/>
          <w:color w:val="000000"/>
          <w:sz w:val="28"/>
          <w:szCs w:val="28"/>
        </w:rPr>
        <w:t>标</w:t>
      </w:r>
      <w:r>
        <w:rPr>
          <w:rFonts w:ascii="Times New Roman" w:hAnsi="Times New Roman" w:eastAsia="宋体" w:cs="Times New Roman"/>
          <w:color w:val="000000"/>
          <w:sz w:val="28"/>
          <w:szCs w:val="28"/>
        </w:rPr>
        <w:t xml:space="preserve"> </w:t>
      </w:r>
      <w:r>
        <w:rPr>
          <w:rFonts w:hint="eastAsia" w:ascii="Times New Roman" w:hAnsi="Times New Roman" w:eastAsia="宋体" w:cs="Times New Roman"/>
          <w:color w:val="000000"/>
          <w:sz w:val="28"/>
          <w:szCs w:val="28"/>
        </w:rPr>
        <w:t>人：中国重汽集团济南动力有限公司</w:t>
      </w:r>
    </w:p>
    <w:p>
      <w:pPr>
        <w:jc w:val="center"/>
        <w:rPr>
          <w:rFonts w:ascii="Times New Roman" w:hAnsi="Times New Roman" w:eastAsia="宋体" w:cs="Times New Roman"/>
          <w:b/>
          <w:bCs/>
          <w:kern w:val="44"/>
          <w:sz w:val="36"/>
          <w:szCs w:val="44"/>
        </w:rPr>
      </w:pPr>
      <w:r>
        <w:rPr>
          <w:rFonts w:ascii="Times New Roman" w:hAnsi="Times New Roman" w:eastAsia="宋体" w:cs="Times New Roman"/>
          <w:color w:val="000000"/>
          <w:sz w:val="28"/>
          <w:szCs w:val="28"/>
        </w:rPr>
        <w:t>202</w:t>
      </w:r>
      <w:r>
        <w:rPr>
          <w:rFonts w:hint="eastAsia" w:ascii="Times New Roman" w:hAnsi="Times New Roman" w:eastAsia="宋体" w:cs="Times New Roman"/>
          <w:color w:val="000000"/>
          <w:sz w:val="28"/>
          <w:szCs w:val="28"/>
        </w:rPr>
        <w:t>5年</w:t>
      </w:r>
      <w:r>
        <w:rPr>
          <w:rFonts w:ascii="Times New Roman" w:hAnsi="Times New Roman" w:eastAsia="宋体" w:cs="Times New Roman"/>
          <w:color w:val="000000"/>
          <w:sz w:val="28"/>
          <w:szCs w:val="28"/>
        </w:rPr>
        <w:t xml:space="preserve"> </w:t>
      </w:r>
      <w:r>
        <w:rPr>
          <w:rFonts w:hint="eastAsia" w:ascii="Times New Roman" w:hAnsi="Times New Roman" w:eastAsia="宋体" w:cs="Times New Roman"/>
          <w:color w:val="000000"/>
          <w:sz w:val="28"/>
          <w:szCs w:val="28"/>
          <w:lang w:val="en-US" w:eastAsia="zh-CN"/>
        </w:rPr>
        <w:t>9</w:t>
      </w:r>
      <w:r>
        <w:rPr>
          <w:rFonts w:hint="eastAsia" w:ascii="Times New Roman" w:hAnsi="Times New Roman" w:eastAsia="宋体" w:cs="Times New Roman"/>
          <w:color w:val="000000"/>
          <w:sz w:val="28"/>
          <w:szCs w:val="28"/>
        </w:rPr>
        <w:t>月</w:t>
      </w:r>
    </w:p>
    <w:p>
      <w:pPr>
        <w:spacing w:line="360" w:lineRule="auto"/>
        <w:rPr>
          <w:rFonts w:ascii="Times New Roman" w:hAnsi="Times New Roman" w:eastAsia="宋体" w:cs="Times New Roman"/>
          <w:b/>
          <w:sz w:val="36"/>
          <w:szCs w:val="36"/>
        </w:rPr>
        <w:sectPr>
          <w:headerReference r:id="rId9" w:type="default"/>
          <w:footerReference r:id="rId10" w:type="default"/>
          <w:pgSz w:w="11907" w:h="16840"/>
          <w:pgMar w:top="1304" w:right="1418" w:bottom="1304" w:left="1418" w:header="724" w:footer="851" w:gutter="0"/>
          <w:cols w:space="720" w:num="1"/>
          <w:docGrid w:linePitch="290" w:charSpace="-3931"/>
        </w:sectPr>
      </w:pPr>
    </w:p>
    <w:p>
      <w:pPr>
        <w:keepNext/>
        <w:keepLines/>
        <w:spacing w:before="120" w:after="120" w:line="480" w:lineRule="exact"/>
        <w:jc w:val="center"/>
        <w:outlineLvl w:val="1"/>
        <w:rPr>
          <w:rFonts w:ascii="Times New Roman" w:hAnsi="Times New Roman" w:eastAsia="宋体" w:cs="Times New Roman"/>
          <w:b/>
          <w:bCs/>
          <w:kern w:val="44"/>
          <w:sz w:val="28"/>
          <w:szCs w:val="28"/>
        </w:rPr>
      </w:pPr>
      <w:r>
        <w:rPr>
          <w:rFonts w:hint="eastAsia" w:ascii="Times New Roman" w:hAnsi="Times New Roman" w:eastAsia="宋体" w:cs="Times New Roman"/>
          <w:b/>
          <w:bCs/>
          <w:kern w:val="44"/>
          <w:sz w:val="28"/>
          <w:szCs w:val="28"/>
        </w:rPr>
        <w:t>第一章</w:t>
      </w:r>
      <w:r>
        <w:rPr>
          <w:rFonts w:ascii="Times New Roman" w:hAnsi="Times New Roman" w:eastAsia="宋体" w:cs="Times New Roman"/>
          <w:b/>
          <w:bCs/>
          <w:kern w:val="44"/>
          <w:sz w:val="28"/>
          <w:szCs w:val="28"/>
        </w:rPr>
        <w:t xml:space="preserve">  </w:t>
      </w:r>
      <w:r>
        <w:rPr>
          <w:rFonts w:hint="eastAsia" w:ascii="Times New Roman" w:hAnsi="Times New Roman" w:eastAsia="宋体" w:cs="Times New Roman"/>
          <w:b/>
          <w:bCs/>
          <w:kern w:val="44"/>
          <w:sz w:val="28"/>
          <w:szCs w:val="28"/>
        </w:rPr>
        <w:t>采购货物概况</w:t>
      </w:r>
    </w:p>
    <w:p>
      <w:pPr>
        <w:keepNext/>
        <w:keepLines/>
        <w:spacing w:before="120" w:after="120" w:line="360" w:lineRule="auto"/>
        <w:jc w:val="center"/>
        <w:outlineLvl w:val="2"/>
        <w:rPr>
          <w:rFonts w:ascii="Times New Roman" w:hAnsi="Times New Roman" w:eastAsia="宋体" w:cs="宋体"/>
          <w:b/>
          <w:bCs/>
          <w:sz w:val="24"/>
          <w:szCs w:val="24"/>
        </w:rPr>
      </w:pPr>
      <w:r>
        <w:rPr>
          <w:rFonts w:hint="eastAsia" w:ascii="Times New Roman" w:hAnsi="Times New Roman" w:eastAsia="宋体" w:cs="宋体"/>
          <w:b/>
          <w:bCs/>
          <w:sz w:val="24"/>
          <w:szCs w:val="24"/>
        </w:rPr>
        <w:t>第一节  使用环境</w:t>
      </w:r>
    </w:p>
    <w:p>
      <w:pPr>
        <w:spacing w:line="360" w:lineRule="auto"/>
        <w:outlineLvl w:val="3"/>
        <w:rPr>
          <w:rFonts w:ascii="Times New Roman" w:hAnsi="Times New Roman" w:eastAsia="宋体" w:cs="宋体"/>
          <w:sz w:val="24"/>
          <w:szCs w:val="24"/>
          <w:u w:val="single"/>
          <w:shd w:val="pct10" w:color="auto" w:fill="FFFFFF"/>
        </w:rPr>
      </w:pPr>
      <w:r>
        <w:rPr>
          <w:rFonts w:hint="eastAsia" w:ascii="Times New Roman" w:hAnsi="Times New Roman" w:eastAsia="宋体" w:cs="宋体"/>
          <w:sz w:val="24"/>
          <w:szCs w:val="24"/>
        </w:rPr>
        <w:t>一、项目名称：</w:t>
      </w:r>
      <w:r>
        <w:rPr>
          <w:rFonts w:hint="eastAsia" w:ascii="宋体" w:hAnsi="宋体" w:eastAsia="宋体" w:cs="宋体"/>
          <w:b w:val="0"/>
          <w:bCs w:val="0"/>
          <w:color w:val="000000"/>
          <w:sz w:val="24"/>
          <w:szCs w:val="24"/>
          <w:u w:val="single"/>
        </w:rPr>
        <w:t>中国重汽集团济南动力有限公司</w:t>
      </w:r>
      <w:r>
        <w:rPr>
          <w:rFonts w:hint="eastAsia" w:ascii="宋体" w:hAnsi="宋体" w:eastAsia="宋体" w:cs="宋体"/>
          <w:b w:val="0"/>
          <w:bCs w:val="0"/>
          <w:color w:val="000000"/>
          <w:sz w:val="24"/>
          <w:szCs w:val="24"/>
          <w:u w:val="single"/>
          <w:lang w:val="en-US" w:eastAsia="zh-CN"/>
        </w:rPr>
        <w:t>桌面HIL台架</w:t>
      </w:r>
      <w:r>
        <w:rPr>
          <w:rFonts w:hint="eastAsia" w:ascii="宋体" w:hAnsi="宋体" w:eastAsia="宋体" w:cs="宋体"/>
          <w:b w:val="0"/>
          <w:bCs w:val="0"/>
          <w:color w:val="000000"/>
          <w:sz w:val="24"/>
          <w:szCs w:val="24"/>
          <w:u w:val="single"/>
        </w:rPr>
        <w:t>招标项目</w:t>
      </w:r>
    </w:p>
    <w:p>
      <w:pPr>
        <w:spacing w:line="360" w:lineRule="auto"/>
        <w:outlineLvl w:val="3"/>
        <w:rPr>
          <w:rFonts w:ascii="Times New Roman" w:hAnsi="Times New Roman" w:eastAsia="宋体" w:cs="宋体"/>
          <w:sz w:val="24"/>
          <w:szCs w:val="24"/>
          <w:u w:val="single"/>
          <w:shd w:val="pct10" w:color="auto" w:fill="FFFFFF"/>
        </w:rPr>
      </w:pPr>
      <w:r>
        <w:rPr>
          <w:rFonts w:hint="eastAsia" w:ascii="Times New Roman" w:hAnsi="Times New Roman" w:eastAsia="宋体" w:cs="宋体"/>
          <w:sz w:val="24"/>
          <w:szCs w:val="24"/>
        </w:rPr>
        <w:t>二、建设地点：</w:t>
      </w:r>
      <w:r>
        <w:rPr>
          <w:rFonts w:hint="eastAsia" w:ascii="Times New Roman" w:hAnsi="Times New Roman" w:eastAsia="宋体" w:cs="宋体"/>
          <w:sz w:val="24"/>
          <w:szCs w:val="24"/>
          <w:u w:val="single"/>
        </w:rPr>
        <w:t>济南市高新区华奥路777号中国重汽科技大厦园区</w:t>
      </w:r>
    </w:p>
    <w:p>
      <w:pPr>
        <w:spacing w:line="360" w:lineRule="auto"/>
        <w:outlineLvl w:val="3"/>
        <w:rPr>
          <w:rFonts w:ascii="Times New Roman" w:hAnsi="Times New Roman" w:eastAsia="宋体" w:cs="宋体"/>
          <w:sz w:val="24"/>
          <w:szCs w:val="24"/>
        </w:rPr>
      </w:pPr>
      <w:r>
        <w:rPr>
          <w:rFonts w:hint="eastAsia" w:ascii="Times New Roman" w:hAnsi="Times New Roman" w:eastAsia="宋体" w:cs="宋体"/>
          <w:sz w:val="24"/>
          <w:szCs w:val="24"/>
        </w:rPr>
        <w:t>三、使用地点：</w:t>
      </w:r>
      <w:r>
        <w:rPr>
          <w:rFonts w:hint="eastAsia" w:ascii="Times New Roman" w:hAnsi="Times New Roman" w:eastAsia="宋体" w:cs="宋体"/>
          <w:sz w:val="24"/>
          <w:szCs w:val="24"/>
          <w:u w:val="single"/>
        </w:rPr>
        <w:t>济南市高新区华奥路777号中国重汽科技大厦园区</w:t>
      </w:r>
    </w:p>
    <w:p>
      <w:pPr>
        <w:spacing w:line="360" w:lineRule="auto"/>
        <w:outlineLvl w:val="3"/>
        <w:rPr>
          <w:rFonts w:ascii="Times New Roman" w:hAnsi="Times New Roman" w:eastAsia="宋体" w:cs="宋体"/>
          <w:sz w:val="24"/>
          <w:szCs w:val="24"/>
        </w:rPr>
      </w:pPr>
      <w:r>
        <w:rPr>
          <w:rFonts w:hint="eastAsia" w:ascii="Times New Roman" w:hAnsi="Times New Roman" w:eastAsia="宋体" w:cs="宋体"/>
          <w:sz w:val="24"/>
          <w:szCs w:val="24"/>
        </w:rPr>
        <w:t>四、工作制度：全年工作365天、一班制、设备年时基数</w:t>
      </w:r>
      <w:r>
        <w:rPr>
          <w:rFonts w:ascii="Times New Roman" w:hAnsi="Times New Roman" w:eastAsia="宋体" w:cs="宋体"/>
          <w:sz w:val="24"/>
          <w:szCs w:val="24"/>
        </w:rPr>
        <w:t>4380</w:t>
      </w:r>
      <w:r>
        <w:rPr>
          <w:rFonts w:hint="eastAsia" w:ascii="Times New Roman" w:hAnsi="Times New Roman" w:eastAsia="宋体" w:cs="宋体"/>
          <w:sz w:val="24"/>
          <w:szCs w:val="24"/>
        </w:rPr>
        <w:t>小时。</w:t>
      </w:r>
    </w:p>
    <w:p>
      <w:pPr>
        <w:spacing w:line="360" w:lineRule="auto"/>
        <w:outlineLvl w:val="3"/>
        <w:rPr>
          <w:rFonts w:ascii="Times New Roman" w:hAnsi="Times New Roman" w:eastAsia="宋体" w:cs="宋体"/>
          <w:sz w:val="24"/>
          <w:szCs w:val="24"/>
        </w:rPr>
      </w:pPr>
      <w:r>
        <w:rPr>
          <w:rFonts w:hint="eastAsia" w:ascii="Times New Roman" w:hAnsi="Times New Roman" w:eastAsia="宋体" w:cs="宋体"/>
          <w:sz w:val="24"/>
          <w:szCs w:val="24"/>
        </w:rPr>
        <w:t>五、使用地点区域自然环境：</w:t>
      </w:r>
    </w:p>
    <w:p>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1.海拔高度：4000m以下。</w:t>
      </w:r>
    </w:p>
    <w:p>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2.环境温度：室外极端最低温度-12℃、极端最高温度45℃。</w:t>
      </w:r>
    </w:p>
    <w:p>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3.相对湿度：最大95%、最小15%。</w:t>
      </w:r>
    </w:p>
    <w:p>
      <w:pPr>
        <w:spacing w:line="360" w:lineRule="auto"/>
        <w:outlineLvl w:val="3"/>
        <w:rPr>
          <w:rFonts w:ascii="Times New Roman" w:hAnsi="Times New Roman" w:eastAsia="宋体" w:cs="宋体"/>
          <w:bCs/>
          <w:sz w:val="24"/>
          <w:szCs w:val="24"/>
        </w:rPr>
      </w:pPr>
      <w:r>
        <w:rPr>
          <w:rFonts w:hint="eastAsia" w:ascii="Times New Roman" w:hAnsi="Times New Roman" w:eastAsia="宋体" w:cs="宋体"/>
          <w:bCs/>
          <w:sz w:val="24"/>
          <w:szCs w:val="24"/>
        </w:rPr>
        <w:t>六、使用试验室环境条件：</w:t>
      </w:r>
    </w:p>
    <w:p>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电力：中国制式，供电电压380V±15%/220V±15%，供电频率50Hz±2%；</w:t>
      </w:r>
    </w:p>
    <w:p>
      <w:pPr>
        <w:keepNext/>
        <w:keepLines/>
        <w:spacing w:before="120" w:after="120" w:line="360" w:lineRule="auto"/>
        <w:jc w:val="center"/>
        <w:outlineLvl w:val="2"/>
        <w:rPr>
          <w:rFonts w:ascii="Times New Roman" w:hAnsi="Times New Roman" w:eastAsia="宋体" w:cs="宋体"/>
          <w:b/>
          <w:bCs/>
          <w:sz w:val="24"/>
          <w:szCs w:val="24"/>
        </w:rPr>
      </w:pPr>
      <w:r>
        <w:rPr>
          <w:rFonts w:hint="eastAsia" w:ascii="Times New Roman" w:hAnsi="Times New Roman" w:eastAsia="宋体" w:cs="宋体"/>
          <w:b/>
          <w:bCs/>
          <w:sz w:val="24"/>
          <w:szCs w:val="24"/>
        </w:rPr>
        <w:t>第二节  采购货物概况</w:t>
      </w:r>
    </w:p>
    <w:p>
      <w:pPr>
        <w:spacing w:line="360" w:lineRule="auto"/>
        <w:outlineLvl w:val="3"/>
        <w:rPr>
          <w:rFonts w:ascii="Times New Roman" w:hAnsi="Times New Roman" w:eastAsia="宋体" w:cs="宋体"/>
          <w:sz w:val="24"/>
          <w:szCs w:val="24"/>
        </w:rPr>
      </w:pPr>
      <w:r>
        <w:rPr>
          <w:rFonts w:hint="eastAsia" w:ascii="Times New Roman" w:hAnsi="Times New Roman" w:eastAsia="宋体" w:cs="宋体"/>
          <w:b/>
          <w:sz w:val="24"/>
          <w:szCs w:val="24"/>
        </w:rPr>
        <w:t>一、货物名称：</w:t>
      </w:r>
      <w:r>
        <w:rPr>
          <w:rFonts w:hint="eastAsia" w:ascii="Times New Roman" w:hAnsi="Times New Roman" w:eastAsia="宋体" w:cs="宋体"/>
          <w:sz w:val="24"/>
          <w:szCs w:val="24"/>
          <w:u w:val="single"/>
        </w:rPr>
        <w:t>桌面HIL台架项目</w:t>
      </w:r>
      <w:r>
        <w:rPr>
          <w:rFonts w:hint="eastAsia" w:ascii="Times New Roman" w:hAnsi="Times New Roman" w:eastAsia="宋体" w:cs="宋体"/>
          <w:sz w:val="24"/>
          <w:szCs w:val="24"/>
        </w:rPr>
        <w:t>（详见下表）</w:t>
      </w:r>
    </w:p>
    <w:p>
      <w:pPr>
        <w:spacing w:line="360" w:lineRule="auto"/>
        <w:outlineLvl w:val="3"/>
        <w:rPr>
          <w:rFonts w:ascii="Times New Roman" w:hAnsi="Times New Roman" w:eastAsia="宋体" w:cs="宋体"/>
          <w:sz w:val="24"/>
          <w:szCs w:val="24"/>
        </w:rPr>
      </w:pPr>
      <w:r>
        <w:rPr>
          <w:rFonts w:hint="eastAsia" w:ascii="Times New Roman" w:hAnsi="Times New Roman" w:eastAsia="宋体" w:cs="宋体"/>
          <w:b/>
          <w:sz w:val="24"/>
          <w:szCs w:val="24"/>
        </w:rPr>
        <w:t>二、货物数量：</w:t>
      </w:r>
      <w:r>
        <w:rPr>
          <w:rFonts w:hint="eastAsia" w:ascii="Times New Roman" w:hAnsi="Times New Roman" w:eastAsia="宋体" w:cs="宋体"/>
          <w:bCs/>
          <w:sz w:val="24"/>
          <w:szCs w:val="24"/>
          <w:u w:val="single"/>
        </w:rPr>
        <w:t>6套</w:t>
      </w:r>
      <w:r>
        <w:rPr>
          <w:rFonts w:hint="eastAsia" w:ascii="Times New Roman" w:hAnsi="Times New Roman" w:eastAsia="宋体" w:cs="宋体"/>
          <w:sz w:val="24"/>
          <w:szCs w:val="24"/>
        </w:rPr>
        <w:t>（详见下表）</w:t>
      </w:r>
    </w:p>
    <w:p>
      <w:pPr>
        <w:spacing w:line="360" w:lineRule="auto"/>
        <w:outlineLvl w:val="3"/>
        <w:rPr>
          <w:rFonts w:ascii="Times New Roman" w:hAnsi="Times New Roman" w:eastAsia="宋体" w:cs="宋体"/>
          <w:b/>
          <w:sz w:val="24"/>
          <w:szCs w:val="24"/>
        </w:rPr>
      </w:pPr>
      <w:r>
        <w:rPr>
          <w:rFonts w:hint="eastAsia" w:ascii="Times New Roman" w:hAnsi="Times New Roman" w:eastAsia="宋体" w:cs="宋体"/>
          <w:b/>
          <w:sz w:val="24"/>
          <w:szCs w:val="24"/>
        </w:rPr>
        <w:t>三、分投分中：不允许</w:t>
      </w:r>
    </w:p>
    <w:p>
      <w:pPr>
        <w:spacing w:line="360" w:lineRule="auto"/>
        <w:jc w:val="center"/>
        <w:rPr>
          <w:rFonts w:ascii="Times New Roman" w:hAnsi="Times New Roman" w:eastAsia="宋体" w:cs="宋体"/>
          <w:b/>
          <w:bCs/>
          <w:sz w:val="24"/>
          <w:szCs w:val="24"/>
        </w:rPr>
      </w:pPr>
      <w:r>
        <w:rPr>
          <w:rFonts w:hint="eastAsia" w:ascii="Times New Roman" w:hAnsi="Times New Roman" w:eastAsia="宋体" w:cs="宋体"/>
          <w:b/>
          <w:bCs/>
          <w:sz w:val="24"/>
          <w:szCs w:val="24"/>
        </w:rPr>
        <w:t>采购货物主要构成一览表</w:t>
      </w:r>
    </w:p>
    <w:tbl>
      <w:tblPr>
        <w:tblStyle w:val="39"/>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2919"/>
        <w:gridCol w:w="2559"/>
        <w:gridCol w:w="1513"/>
        <w:gridCol w:w="11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jc w:val="center"/>
              <w:rPr>
                <w:rFonts w:ascii="Times New Roman" w:hAnsi="Times New Roman" w:eastAsia="宋体" w:cs="宋体"/>
                <w:sz w:val="24"/>
                <w:szCs w:val="24"/>
              </w:rPr>
            </w:pPr>
            <w:r>
              <w:rPr>
                <w:rFonts w:hint="eastAsia" w:ascii="Times New Roman" w:hAnsi="Times New Roman" w:eastAsia="宋体" w:cs="宋体"/>
                <w:sz w:val="24"/>
                <w:szCs w:val="24"/>
              </w:rPr>
              <w:t>序号</w:t>
            </w:r>
          </w:p>
        </w:tc>
        <w:tc>
          <w:tcPr>
            <w:tcW w:w="2919" w:type="dxa"/>
            <w:vAlign w:val="center"/>
          </w:tcPr>
          <w:p>
            <w:pPr>
              <w:jc w:val="center"/>
              <w:rPr>
                <w:rFonts w:ascii="Times New Roman" w:hAnsi="Times New Roman" w:eastAsia="宋体" w:cs="宋体"/>
                <w:sz w:val="24"/>
                <w:szCs w:val="24"/>
              </w:rPr>
            </w:pPr>
            <w:r>
              <w:rPr>
                <w:rFonts w:hint="eastAsia" w:ascii="Times New Roman" w:hAnsi="Times New Roman" w:eastAsia="宋体" w:cs="宋体"/>
                <w:sz w:val="24"/>
                <w:szCs w:val="24"/>
              </w:rPr>
              <w:t>名称</w:t>
            </w:r>
          </w:p>
        </w:tc>
        <w:tc>
          <w:tcPr>
            <w:tcW w:w="2559" w:type="dxa"/>
            <w:vAlign w:val="center"/>
          </w:tcPr>
          <w:p>
            <w:pPr>
              <w:jc w:val="center"/>
              <w:rPr>
                <w:rFonts w:ascii="Times New Roman" w:hAnsi="Times New Roman" w:eastAsia="宋体" w:cs="宋体"/>
                <w:sz w:val="24"/>
                <w:szCs w:val="24"/>
              </w:rPr>
            </w:pPr>
            <w:r>
              <w:rPr>
                <w:rFonts w:hint="eastAsia" w:ascii="Times New Roman" w:hAnsi="Times New Roman" w:eastAsia="宋体" w:cs="宋体"/>
                <w:sz w:val="24"/>
                <w:szCs w:val="24"/>
              </w:rPr>
              <w:t>型号规格</w:t>
            </w:r>
          </w:p>
        </w:tc>
        <w:tc>
          <w:tcPr>
            <w:tcW w:w="1513" w:type="dxa"/>
            <w:vAlign w:val="center"/>
          </w:tcPr>
          <w:p>
            <w:pPr>
              <w:jc w:val="center"/>
              <w:rPr>
                <w:rFonts w:ascii="Times New Roman" w:hAnsi="Times New Roman" w:eastAsia="宋体" w:cs="宋体"/>
                <w:sz w:val="24"/>
                <w:szCs w:val="24"/>
              </w:rPr>
            </w:pPr>
            <w:r>
              <w:rPr>
                <w:rFonts w:hint="eastAsia" w:ascii="Times New Roman" w:hAnsi="Times New Roman" w:eastAsia="宋体" w:cs="宋体"/>
                <w:sz w:val="24"/>
                <w:szCs w:val="24"/>
              </w:rPr>
              <w:t>单位</w:t>
            </w:r>
          </w:p>
        </w:tc>
        <w:tc>
          <w:tcPr>
            <w:tcW w:w="1105" w:type="dxa"/>
            <w:vAlign w:val="center"/>
          </w:tcPr>
          <w:p>
            <w:pPr>
              <w:jc w:val="center"/>
              <w:rPr>
                <w:rFonts w:ascii="Times New Roman" w:hAnsi="Times New Roman" w:eastAsia="宋体" w:cs="宋体"/>
                <w:sz w:val="24"/>
                <w:szCs w:val="24"/>
              </w:rPr>
            </w:pPr>
            <w:r>
              <w:rPr>
                <w:rFonts w:hint="eastAsia" w:ascii="Times New Roman" w:hAnsi="Times New Roman" w:eastAsia="宋体" w:cs="宋体"/>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jc w:val="center"/>
              <w:rPr>
                <w:rFonts w:ascii="Times New Roman" w:hAnsi="Times New Roman" w:eastAsia="宋体" w:cs="宋体"/>
                <w:sz w:val="24"/>
                <w:szCs w:val="24"/>
              </w:rPr>
            </w:pPr>
            <w:r>
              <w:rPr>
                <w:rFonts w:hint="eastAsia" w:ascii="Times New Roman" w:hAnsi="Times New Roman" w:eastAsia="宋体" w:cs="宋体"/>
                <w:sz w:val="24"/>
                <w:szCs w:val="24"/>
              </w:rPr>
              <w:t>1</w:t>
            </w:r>
          </w:p>
        </w:tc>
        <w:tc>
          <w:tcPr>
            <w:tcW w:w="2919" w:type="dxa"/>
            <w:vAlign w:val="center"/>
          </w:tcPr>
          <w:p>
            <w:pPr>
              <w:jc w:val="center"/>
              <w:rPr>
                <w:rFonts w:ascii="Times New Roman" w:hAnsi="Times New Roman" w:eastAsia="宋体" w:cs="宋体"/>
                <w:sz w:val="24"/>
                <w:szCs w:val="24"/>
              </w:rPr>
            </w:pPr>
            <w:r>
              <w:rPr>
                <w:rFonts w:hint="eastAsia" w:ascii="宋体" w:hAnsi="宋体" w:eastAsia="宋体" w:cs="宋体"/>
                <w:b w:val="0"/>
                <w:bCs w:val="0"/>
                <w:color w:val="000000"/>
                <w:sz w:val="24"/>
                <w:szCs w:val="24"/>
                <w:u w:val="single"/>
              </w:rPr>
              <w:t>中国重汽集团济南动力有限公司</w:t>
            </w:r>
            <w:r>
              <w:rPr>
                <w:rFonts w:hint="eastAsia" w:ascii="宋体" w:hAnsi="宋体" w:eastAsia="宋体" w:cs="宋体"/>
                <w:b w:val="0"/>
                <w:bCs w:val="0"/>
                <w:color w:val="000000"/>
                <w:sz w:val="24"/>
                <w:szCs w:val="24"/>
                <w:u w:val="single"/>
                <w:lang w:val="en-US" w:eastAsia="zh-CN"/>
              </w:rPr>
              <w:t>桌面HIL台架</w:t>
            </w:r>
          </w:p>
        </w:tc>
        <w:tc>
          <w:tcPr>
            <w:tcW w:w="2559" w:type="dxa"/>
            <w:vAlign w:val="center"/>
          </w:tcPr>
          <w:p>
            <w:pPr>
              <w:jc w:val="center"/>
              <w:rPr>
                <w:rFonts w:ascii="Times New Roman" w:hAnsi="Times New Roman" w:eastAsia="宋体" w:cs="宋体"/>
                <w:sz w:val="24"/>
                <w:szCs w:val="24"/>
              </w:rPr>
            </w:pPr>
            <w:r>
              <w:rPr>
                <w:rFonts w:hint="eastAsia" w:ascii="Times New Roman" w:hAnsi="Times New Roman" w:eastAsia="宋体" w:cs="宋体"/>
                <w:sz w:val="24"/>
                <w:szCs w:val="24"/>
              </w:rPr>
              <w:t>见第二章技术要求</w:t>
            </w:r>
          </w:p>
        </w:tc>
        <w:tc>
          <w:tcPr>
            <w:tcW w:w="1513" w:type="dxa"/>
            <w:vAlign w:val="center"/>
          </w:tcPr>
          <w:p>
            <w:pPr>
              <w:jc w:val="center"/>
              <w:rPr>
                <w:rFonts w:ascii="Times New Roman" w:hAnsi="Times New Roman" w:eastAsia="宋体" w:cs="宋体"/>
                <w:sz w:val="24"/>
                <w:szCs w:val="24"/>
              </w:rPr>
            </w:pPr>
            <w:r>
              <w:rPr>
                <w:rFonts w:hint="eastAsia" w:ascii="Times New Roman" w:hAnsi="Times New Roman" w:eastAsia="宋体" w:cs="宋体"/>
                <w:sz w:val="24"/>
                <w:szCs w:val="24"/>
              </w:rPr>
              <w:t>套</w:t>
            </w:r>
          </w:p>
        </w:tc>
        <w:tc>
          <w:tcPr>
            <w:tcW w:w="1105" w:type="dxa"/>
            <w:vAlign w:val="center"/>
          </w:tcPr>
          <w:p>
            <w:pPr>
              <w:jc w:val="center"/>
              <w:rPr>
                <w:rFonts w:ascii="Times New Roman" w:hAnsi="Times New Roman" w:eastAsia="宋体" w:cs="宋体"/>
                <w:sz w:val="24"/>
                <w:szCs w:val="24"/>
              </w:rPr>
            </w:pPr>
            <w:r>
              <w:rPr>
                <w:rFonts w:hint="eastAsia" w:ascii="Times New Roman" w:hAnsi="Times New Roman" w:eastAsia="宋体" w:cs="宋体"/>
                <w:sz w:val="24"/>
                <w:szCs w:val="24"/>
              </w:rPr>
              <w:t>6</w:t>
            </w:r>
          </w:p>
        </w:tc>
      </w:tr>
    </w:tbl>
    <w:p>
      <w:pPr>
        <w:spacing w:before="120" w:beforeLines="50"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2.本表“供货方式”指：交钥匙方式——包括制造、运输、定点卸货、安装、调试和协助验收以及约定培训等。</w:t>
      </w:r>
    </w:p>
    <w:p>
      <w:pPr>
        <w:spacing w:line="360" w:lineRule="auto"/>
        <w:outlineLvl w:val="3"/>
        <w:rPr>
          <w:rFonts w:ascii="Times New Roman" w:hAnsi="Times New Roman" w:eastAsia="宋体" w:cs="宋体"/>
          <w:b/>
          <w:sz w:val="24"/>
          <w:szCs w:val="24"/>
        </w:rPr>
      </w:pPr>
      <w:r>
        <w:rPr>
          <w:rFonts w:hint="eastAsia" w:ascii="Times New Roman" w:hAnsi="Times New Roman" w:eastAsia="宋体" w:cs="宋体"/>
          <w:b/>
          <w:sz w:val="24"/>
          <w:szCs w:val="24"/>
        </w:rPr>
        <w:t>四、采购货物特别说明</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招标人所列货物的名称和规格型号，如为某一供应商所特有，则该名称和规格型号可作参考，但要求投标人所提供的货物必须满足本技术标书实质性要求。</w:t>
      </w:r>
    </w:p>
    <w:p>
      <w:pPr>
        <w:pStyle w:val="2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本项目涉及设备部分为进口品牌，于第二章技术要求部分具体约束。</w:t>
      </w:r>
    </w:p>
    <w:p>
      <w:pPr>
        <w:pStyle w:val="2"/>
        <w:spacing w:before="0" w:after="0" w:afterLines="0"/>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本项目涉及设备，需按甲方要求提供设备零部件明细，并进行价格拆解。</w:t>
      </w:r>
    </w:p>
    <w:p>
      <w:pPr>
        <w:pStyle w:val="2"/>
        <w:spacing w:before="0" w:after="0" w:afterLines="0"/>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本项目涉及的所有设备通讯协议需在技术方案评审时一并免费提交给招标方，并协助招标方开展设备集成工作。</w:t>
      </w:r>
    </w:p>
    <w:p>
      <w:pPr>
        <w:pStyle w:val="2"/>
        <w:spacing w:before="0" w:after="0" w:afterLines="0"/>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各单元原理图、电路图、程序框图、技术规格和指标、接口协议、各部件型号和参数清单在协议签订2个月内提供。</w:t>
      </w:r>
    </w:p>
    <w:p>
      <w:pPr>
        <w:widowControl/>
        <w:jc w:val="left"/>
        <w:rPr>
          <w:rFonts w:ascii="Times New Roman" w:hAnsi="Times New Roman"/>
        </w:rPr>
      </w:pPr>
      <w:r>
        <w:rPr>
          <w:rFonts w:ascii="Times New Roman" w:hAnsi="Times New Roman"/>
        </w:rPr>
        <w:br w:type="page"/>
      </w:r>
    </w:p>
    <w:p>
      <w:pPr>
        <w:keepNext/>
        <w:keepLines/>
        <w:spacing w:before="120" w:after="120" w:line="480" w:lineRule="exact"/>
        <w:jc w:val="center"/>
        <w:outlineLvl w:val="1"/>
        <w:rPr>
          <w:rFonts w:ascii="Times New Roman" w:hAnsi="Times New Roman" w:eastAsia="宋体" w:cs="Times New Roman"/>
          <w:b/>
          <w:bCs/>
          <w:kern w:val="44"/>
          <w:sz w:val="28"/>
          <w:szCs w:val="28"/>
        </w:rPr>
      </w:pPr>
      <w:r>
        <w:rPr>
          <w:rFonts w:hint="eastAsia" w:ascii="Times New Roman" w:hAnsi="Times New Roman" w:eastAsia="宋体" w:cs="Times New Roman"/>
          <w:b/>
          <w:bCs/>
          <w:kern w:val="44"/>
          <w:sz w:val="28"/>
          <w:szCs w:val="28"/>
        </w:rPr>
        <w:t>第二章  技术要求</w:t>
      </w:r>
    </w:p>
    <w:p>
      <w:pPr>
        <w:spacing w:line="360" w:lineRule="auto"/>
        <w:rPr>
          <w:rFonts w:ascii="Times New Roman" w:hAnsi="Times New Roman" w:eastAsia="宋体" w:cs="宋体"/>
          <w:sz w:val="24"/>
          <w:szCs w:val="24"/>
        </w:rPr>
      </w:pPr>
      <w:r>
        <w:rPr>
          <w:rFonts w:hint="eastAsia" w:ascii="Times New Roman" w:hAnsi="Times New Roman" w:eastAsia="宋体" w:cs="宋体"/>
          <w:sz w:val="24"/>
          <w:szCs w:val="24"/>
        </w:rPr>
        <w:t>一、特别提示</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1.本章技术要求，仅对功能、设计、结构、性能、安装和试验检验等方面，提出了最低和一般性的技术要求，并未对一切技术细节作出规定。</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2.本技术要求所使用的标准、规范等，如与投标人所执行的标准、规范不一致时，应按高于本技术要求所列的标准、规范执行。</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3.投标人认为所供货物必需由招标人配备、解决或提供的其它要求，如设备基础隔振和减振设施、软化水、洁净气源等，均应在投标文件“技术偏离”中予以充分说明。</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bCs/>
          <w:sz w:val="24"/>
          <w:szCs w:val="24"/>
        </w:rPr>
        <w:t>4.投标人应根据招投标货物具体要求，提出</w:t>
      </w:r>
      <w:r>
        <w:rPr>
          <w:rFonts w:hint="eastAsia" w:ascii="Times New Roman" w:hAnsi="Times New Roman" w:eastAsia="宋体" w:cs="宋体"/>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ind w:firstLine="420"/>
        <w:rPr>
          <w:rFonts w:ascii="Times New Roman" w:hAnsi="Times New Roman" w:eastAsia="宋体" w:cs="宋体"/>
          <w:sz w:val="24"/>
          <w:szCs w:val="24"/>
        </w:rPr>
      </w:pPr>
      <w:r>
        <w:rPr>
          <w:rFonts w:hint="eastAsia" w:ascii="Times New Roman" w:hAnsi="Times New Roman" w:eastAsia="宋体" w:cs="宋体"/>
          <w:sz w:val="24"/>
          <w:szCs w:val="24"/>
        </w:rPr>
        <w:t>5.无论是否有技术偏离，投标人均应在投标文件“技术偏离”中明确作出有无说明。若有异议，不管是多么微小，投标人必须予以明确和详细的说明或澄清。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6.为避免投标人优势在招标评审时漏项，质保期超出本技术标书要求的，应当在投标文件“技术偏离”中特别注明。</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7.投标文件中，针对“特别提示”条款所做的回应，将作为投标人能否中标的重要依据之一。</w:t>
      </w:r>
    </w:p>
    <w:p>
      <w:pPr>
        <w:spacing w:line="360" w:lineRule="auto"/>
        <w:rPr>
          <w:rFonts w:ascii="Times New Roman" w:hAnsi="Times New Roman" w:eastAsia="宋体" w:cs="宋体"/>
          <w:sz w:val="24"/>
          <w:szCs w:val="24"/>
        </w:rPr>
      </w:pPr>
      <w:r>
        <w:rPr>
          <w:rFonts w:hint="eastAsia" w:ascii="Times New Roman" w:hAnsi="Times New Roman" w:eastAsia="宋体" w:cs="宋体"/>
          <w:sz w:val="24"/>
          <w:szCs w:val="24"/>
        </w:rPr>
        <w:t>二、基本要求</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1.投标人所供的货物，必须符合中国最新版的法律、法规和相关标准、规范的要求，符合项目所在地政府有关特殊要求。</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2.投标人所供货物涉及的专利权技术以及知识产权保护的其它技术等，应保证招标人不因此受到任何侵权指控以及实际损失。</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3.投标人应保证所供货物的先进性、可靠性、经济性和实用性，并为全新货物（或设备）。</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4.投标人应满足招标人提出的各项技术要求，必要时应当免费提供技术承诺或担保。</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5.投标人应保证所供货物（或设备）为中国政府指定或规定的主管部门公布的非淘汰货物（或设备），并尽力提供中国政府指定或规定的主管部门认可的环保型和节能型货物（或设备）</w:t>
      </w:r>
      <w:r>
        <w:rPr>
          <w:rFonts w:hint="eastAsia" w:ascii="宋体" w:hAnsi="宋体" w:eastAsia="宋体" w:cs="宋体"/>
          <w:sz w:val="24"/>
          <w:szCs w:val="24"/>
        </w:rPr>
        <w:t>，</w:t>
      </w:r>
      <w:r>
        <w:rPr>
          <w:rFonts w:hint="eastAsia" w:ascii="宋体" w:hAnsi="宋体" w:eastAsia="宋体" w:cs="Times New Roman"/>
          <w:b/>
          <w:bCs/>
          <w:sz w:val="24"/>
          <w:szCs w:val="24"/>
          <w:highlight w:val="yellow"/>
        </w:rPr>
        <w:t>电机功率≥7.5kw,必须选用一级能效</w:t>
      </w:r>
      <w:r>
        <w:rPr>
          <w:rFonts w:hint="eastAsia" w:ascii="宋体" w:hAnsi="宋体" w:eastAsia="宋体" w:cs="宋体"/>
          <w:color w:val="000000"/>
          <w:sz w:val="24"/>
          <w:szCs w:val="24"/>
          <w:highlight w:val="yellow"/>
        </w:rPr>
        <w:t>（按国标计算）</w:t>
      </w:r>
      <w:r>
        <w:rPr>
          <w:rFonts w:hint="eastAsia" w:ascii="宋体" w:hAnsi="宋体" w:eastAsia="宋体" w:cs="Times New Roman"/>
          <w:b/>
          <w:bCs/>
          <w:sz w:val="24"/>
          <w:szCs w:val="24"/>
          <w:highlight w:val="yellow"/>
        </w:rPr>
        <w:t>，电机功率&lt;7.5kw，优先选用一级能效:其中能源供应设备及年运行时间≥2000h 工艺设备电机必须选用一级能效</w:t>
      </w:r>
      <w:r>
        <w:rPr>
          <w:rFonts w:hint="eastAsia" w:ascii="Times New Roman" w:hAnsi="Times New Roman" w:eastAsia="宋体" w:cs="宋体"/>
          <w:sz w:val="24"/>
          <w:szCs w:val="24"/>
        </w:rPr>
        <w:t>。</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6.投标人应保证所供货物的完整性和成套性，能保证货物的正常运行、使用。</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7.投标人应对招标人采购的货物所涉及的技术、产能等信息负有保密义务，招标人拥有追究投标人泄密责任的权利；招标人如有需要，投标人应无条件签署保密协议。</w:t>
      </w:r>
    </w:p>
    <w:p>
      <w:pPr>
        <w:spacing w:line="360" w:lineRule="auto"/>
        <w:ind w:firstLine="480" w:firstLineChars="200"/>
        <w:rPr>
          <w:rFonts w:ascii="宋体" w:hAnsi="宋体" w:eastAsia="宋体" w:cs="Times New Roman"/>
          <w:sz w:val="24"/>
          <w:szCs w:val="24"/>
          <w:highlight w:val="yellow"/>
        </w:rPr>
      </w:pPr>
      <w:r>
        <w:rPr>
          <w:rFonts w:hint="eastAsia" w:ascii="宋体" w:hAnsi="宋体" w:eastAsia="宋体" w:cs="Times New Roman"/>
          <w:sz w:val="24"/>
          <w:szCs w:val="24"/>
          <w:highlight w:val="yellow"/>
        </w:rPr>
        <w:t>8.程序图纸要求</w:t>
      </w:r>
    </w:p>
    <w:p>
      <w:pPr>
        <w:spacing w:line="360" w:lineRule="auto"/>
        <w:ind w:firstLine="480" w:firstLineChars="200"/>
        <w:rPr>
          <w:rFonts w:ascii="宋体" w:hAnsi="宋体" w:eastAsia="宋体" w:cs="Times New Roman"/>
          <w:sz w:val="24"/>
          <w:szCs w:val="24"/>
          <w:highlight w:val="yellow"/>
        </w:rPr>
      </w:pPr>
      <w:r>
        <w:rPr>
          <w:rFonts w:hint="eastAsia" w:ascii="宋体" w:hAnsi="宋体" w:eastAsia="宋体" w:cs="Times New Roman"/>
          <w:sz w:val="24"/>
          <w:szCs w:val="24"/>
          <w:highlight w:val="yellow"/>
        </w:rPr>
        <w:t>8.1 供方必须提供所有设备程序的源代码，包括但不限于 PLC程序、HMI 程序、机器人程序、视觉程序、伺服等。</w:t>
      </w:r>
    </w:p>
    <w:p>
      <w:pPr>
        <w:spacing w:line="360" w:lineRule="auto"/>
        <w:ind w:firstLine="480" w:firstLineChars="200"/>
        <w:rPr>
          <w:rFonts w:ascii="宋体" w:hAnsi="宋体" w:eastAsia="宋体" w:cs="Times New Roman"/>
          <w:sz w:val="24"/>
          <w:szCs w:val="24"/>
          <w:highlight w:val="yellow"/>
        </w:rPr>
      </w:pPr>
      <w:r>
        <w:rPr>
          <w:rFonts w:hint="eastAsia" w:ascii="宋体" w:hAnsi="宋体" w:eastAsia="宋体" w:cs="Times New Roman"/>
          <w:sz w:val="24"/>
          <w:szCs w:val="24"/>
          <w:highlight w:val="yellow"/>
        </w:rPr>
        <w:t>8.2 供方所提供的程序不得设置任何密码、保护等限制手段，PLC 不得设置修改下载权限，功能块不得设置密码保护。</w:t>
      </w:r>
    </w:p>
    <w:p>
      <w:pPr>
        <w:spacing w:line="360" w:lineRule="auto"/>
        <w:ind w:firstLine="480" w:firstLineChars="200"/>
        <w:rPr>
          <w:rFonts w:ascii="宋体" w:hAnsi="宋体" w:eastAsia="宋体" w:cs="Times New Roman"/>
          <w:sz w:val="24"/>
          <w:szCs w:val="24"/>
          <w:highlight w:val="yellow"/>
        </w:rPr>
      </w:pPr>
      <w:r>
        <w:rPr>
          <w:rFonts w:hint="eastAsia" w:ascii="宋体" w:hAnsi="宋体" w:eastAsia="宋体" w:cs="Times New Roman"/>
          <w:sz w:val="24"/>
          <w:szCs w:val="24"/>
          <w:highlight w:val="yellow"/>
        </w:rPr>
        <w:t>8.3 HMI 界面等需要密码保护的程序，供方必须提供所有级别的用户名、密码。</w:t>
      </w:r>
    </w:p>
    <w:p>
      <w:pPr>
        <w:spacing w:line="360" w:lineRule="auto"/>
        <w:ind w:firstLine="480" w:firstLineChars="200"/>
        <w:rPr>
          <w:rFonts w:ascii="宋体" w:hAnsi="宋体" w:eastAsia="宋体" w:cs="Times New Roman"/>
          <w:sz w:val="24"/>
          <w:szCs w:val="24"/>
          <w:highlight w:val="yellow"/>
        </w:rPr>
      </w:pPr>
      <w:r>
        <w:rPr>
          <w:rFonts w:hint="eastAsia" w:ascii="宋体" w:hAnsi="宋体" w:eastAsia="宋体" w:cs="Times New Roman"/>
          <w:sz w:val="24"/>
          <w:szCs w:val="24"/>
          <w:highlight w:val="yellow"/>
        </w:rPr>
        <w:t>8.4 供方需在设备入场前提供设备程序源码，HMI 界面各级用户名和密码，并保证与现场程序一致。</w:t>
      </w:r>
    </w:p>
    <w:p>
      <w:pPr>
        <w:spacing w:line="360" w:lineRule="auto"/>
        <w:ind w:firstLine="480" w:firstLineChars="200"/>
        <w:rPr>
          <w:rFonts w:ascii="宋体" w:hAnsi="宋体" w:eastAsia="宋体" w:cs="Times New Roman"/>
          <w:sz w:val="24"/>
          <w:szCs w:val="24"/>
          <w:highlight w:val="yellow"/>
        </w:rPr>
      </w:pPr>
      <w:r>
        <w:rPr>
          <w:rFonts w:hint="eastAsia" w:ascii="宋体" w:hAnsi="宋体" w:eastAsia="宋体" w:cs="Times New Roman"/>
          <w:sz w:val="24"/>
          <w:szCs w:val="24"/>
          <w:highlight w:val="yellow"/>
        </w:rPr>
        <w:t>8.5 供方需在终验收前提供最新的设备程序源码和电气图纸，图纸要求为可编辑原格式（EPLAN、CAD 格式）且与实际接线一致。</w:t>
      </w:r>
    </w:p>
    <w:p>
      <w:pPr>
        <w:pStyle w:val="34"/>
        <w:widowControl/>
        <w:spacing w:line="360" w:lineRule="auto"/>
        <w:ind w:firstLine="386"/>
        <w:rPr>
          <w:rFonts w:ascii="宋体" w:hAnsi="宋体" w:cs="宋体"/>
          <w:color w:val="000000"/>
          <w:szCs w:val="24"/>
          <w:highlight w:val="yellow"/>
        </w:rPr>
      </w:pPr>
      <w:r>
        <w:rPr>
          <w:rFonts w:hint="eastAsia" w:ascii="宋体" w:hAnsi="宋体" w:cs="宋体"/>
          <w:color w:val="000000"/>
          <w:szCs w:val="24"/>
          <w:highlight w:val="yellow"/>
        </w:rPr>
        <w:t>9.接口协议要求</w:t>
      </w:r>
    </w:p>
    <w:p>
      <w:pPr>
        <w:pStyle w:val="34"/>
        <w:widowControl/>
        <w:spacing w:line="360" w:lineRule="auto"/>
        <w:ind w:firstLine="386"/>
        <w:rPr>
          <w:rFonts w:ascii="宋体" w:hAnsi="宋体" w:cs="宋体"/>
          <w:color w:val="000000"/>
          <w:szCs w:val="24"/>
          <w:highlight w:val="yellow"/>
        </w:rPr>
      </w:pPr>
      <w:r>
        <w:rPr>
          <w:rFonts w:hint="eastAsia" w:ascii="宋体" w:hAnsi="宋体" w:cs="宋体"/>
          <w:color w:val="000000"/>
          <w:szCs w:val="24"/>
          <w:highlight w:val="yellow"/>
        </w:rPr>
        <w:t>9.1 供方免费开放所有通讯接口，包括但不限于以太网</w:t>
      </w:r>
    </w:p>
    <w:p>
      <w:pPr>
        <w:pStyle w:val="34"/>
        <w:widowControl/>
        <w:spacing w:line="360" w:lineRule="auto"/>
        <w:ind w:firstLine="386"/>
        <w:rPr>
          <w:rFonts w:ascii="宋体" w:hAnsi="宋体" w:cs="宋体"/>
          <w:color w:val="000000"/>
          <w:szCs w:val="24"/>
          <w:highlight w:val="yellow"/>
        </w:rPr>
      </w:pPr>
      <w:r>
        <w:rPr>
          <w:rFonts w:hint="eastAsia" w:ascii="宋体" w:hAnsi="宋体" w:cs="宋体"/>
          <w:color w:val="000000"/>
          <w:szCs w:val="24"/>
          <w:highlight w:val="yellow"/>
        </w:rPr>
        <w:t>RS232、RS485、PROFIBUS、PROFINET、MODBUS 等常见接口，以及设备特有的专用接口。</w:t>
      </w:r>
    </w:p>
    <w:p>
      <w:pPr>
        <w:pStyle w:val="34"/>
        <w:widowControl/>
        <w:spacing w:line="360" w:lineRule="auto"/>
        <w:ind w:firstLine="386"/>
        <w:rPr>
          <w:rFonts w:ascii="宋体" w:hAnsi="宋体" w:cs="宋体"/>
          <w:color w:val="000000"/>
          <w:szCs w:val="24"/>
          <w:highlight w:val="yellow"/>
        </w:rPr>
      </w:pPr>
      <w:r>
        <w:rPr>
          <w:rFonts w:hint="eastAsia" w:ascii="宋体" w:hAnsi="宋体" w:cs="宋体"/>
          <w:color w:val="000000"/>
          <w:szCs w:val="24"/>
          <w:highlight w:val="yellow"/>
        </w:rPr>
        <w:t>9.2 供方免费提供数据交互功能，交互数据包括但不限于实时数据、历史数据、报警信息等。</w:t>
      </w:r>
    </w:p>
    <w:p>
      <w:pPr>
        <w:pStyle w:val="34"/>
        <w:widowControl/>
        <w:spacing w:line="360" w:lineRule="auto"/>
        <w:ind w:firstLine="386"/>
        <w:rPr>
          <w:rFonts w:ascii="宋体" w:hAnsi="宋体" w:cs="宋体"/>
          <w:color w:val="000000"/>
          <w:szCs w:val="24"/>
          <w:highlight w:val="yellow"/>
        </w:rPr>
      </w:pPr>
      <w:r>
        <w:rPr>
          <w:rFonts w:hint="eastAsia" w:ascii="宋体" w:hAnsi="宋体" w:cs="宋体"/>
          <w:color w:val="000000"/>
          <w:szCs w:val="24"/>
          <w:highlight w:val="yellow"/>
        </w:rPr>
        <w:t>9.3 供方在设备入场前提供接口的技术文档和参数说明，包括但不限于接口协议、通讯速率、数据格式等。</w:t>
      </w:r>
    </w:p>
    <w:p>
      <w:pPr>
        <w:spacing w:line="360" w:lineRule="auto"/>
        <w:ind w:firstLine="480" w:firstLineChars="200"/>
      </w:pPr>
      <w:r>
        <w:rPr>
          <w:rFonts w:hint="eastAsia" w:ascii="宋体" w:hAnsi="宋体" w:eastAsia="宋体" w:cs="宋体"/>
          <w:color w:val="000000"/>
          <w:sz w:val="24"/>
          <w:szCs w:val="24"/>
          <w:highlight w:val="yellow"/>
        </w:rPr>
        <w:t>9.4 设备使用周期内，供方免费派遣技术人员与甲方调试团队共同进行设备通讯接口的调试工作</w:t>
      </w:r>
      <w:r>
        <w:rPr>
          <w:rFonts w:hint="eastAsia" w:ascii="Times New Roman" w:hAnsi="Times New Roman" w:eastAsia="宋体" w:cs="Times New Roman"/>
          <w:sz w:val="24"/>
          <w:szCs w:val="24"/>
          <w:highlight w:val="yellow"/>
        </w:rPr>
        <w:t>。</w:t>
      </w:r>
    </w:p>
    <w:p>
      <w:pPr>
        <w:spacing w:line="360" w:lineRule="auto"/>
        <w:rPr>
          <w:rFonts w:ascii="Times New Roman" w:hAnsi="Times New Roman" w:eastAsia="宋体" w:cs="宋体"/>
          <w:sz w:val="24"/>
          <w:szCs w:val="24"/>
        </w:rPr>
      </w:pPr>
      <w:r>
        <w:rPr>
          <w:rFonts w:hint="eastAsia" w:ascii="Times New Roman" w:hAnsi="Times New Roman" w:eastAsia="宋体" w:cs="宋体"/>
          <w:sz w:val="24"/>
          <w:szCs w:val="24"/>
        </w:rPr>
        <w:t>三、技术要求</w:t>
      </w:r>
    </w:p>
    <w:p>
      <w:pPr>
        <w:spacing w:line="360" w:lineRule="auto"/>
        <w:outlineLvl w:val="2"/>
        <w:rPr>
          <w:rFonts w:ascii="Times New Roman" w:hAnsi="Times New Roman" w:eastAsia="宋体" w:cs="Times New Roman"/>
          <w:b/>
          <w:bCs/>
          <w:sz w:val="24"/>
          <w:szCs w:val="24"/>
        </w:rPr>
      </w:pPr>
      <w:bookmarkStart w:id="31" w:name="_Hlk132112785"/>
      <w:r>
        <w:rPr>
          <w:rFonts w:hint="eastAsia" w:ascii="Times New Roman" w:hAnsi="Times New Roman" w:eastAsia="宋体" w:cs="Times New Roman"/>
          <w:b/>
          <w:bCs/>
          <w:sz w:val="24"/>
          <w:szCs w:val="24"/>
        </w:rPr>
        <w:t>1</w:t>
      </w:r>
      <w:r>
        <w:rPr>
          <w:rFonts w:ascii="Times New Roman" w:hAnsi="Times New Roman" w:eastAsia="宋体" w:cs="Times New Roman"/>
          <w:b/>
          <w:bCs/>
          <w:sz w:val="24"/>
          <w:szCs w:val="24"/>
        </w:rPr>
        <w:t>设备名称</w:t>
      </w:r>
      <w:r>
        <w:rPr>
          <w:rFonts w:hint="eastAsia" w:ascii="Times New Roman" w:hAnsi="Times New Roman" w:eastAsia="宋体" w:cs="Times New Roman"/>
          <w:b/>
          <w:bCs/>
          <w:sz w:val="24"/>
          <w:szCs w:val="24"/>
        </w:rPr>
        <w:t>和数量</w:t>
      </w:r>
    </w:p>
    <w:p>
      <w:pPr>
        <w:spacing w:line="36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桌面HIL测试系统，6套：</w:t>
      </w:r>
    </w:p>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2</w:t>
      </w:r>
      <w:r>
        <w:rPr>
          <w:rFonts w:ascii="Times New Roman" w:hAnsi="Times New Roman" w:eastAsia="宋体" w:cs="Times New Roman"/>
          <w:b/>
          <w:bCs/>
          <w:sz w:val="24"/>
          <w:szCs w:val="24"/>
        </w:rPr>
        <w:t>设备</w:t>
      </w:r>
      <w:r>
        <w:rPr>
          <w:rFonts w:hint="eastAsia" w:ascii="Times New Roman" w:hAnsi="Times New Roman" w:eastAsia="宋体" w:cs="Times New Roman"/>
          <w:b/>
          <w:bCs/>
          <w:sz w:val="24"/>
          <w:szCs w:val="24"/>
        </w:rPr>
        <w:t>总体要求</w:t>
      </w:r>
    </w:p>
    <w:p>
      <w:pPr>
        <w:spacing w:line="360" w:lineRule="auto"/>
        <w:outlineLvl w:val="3"/>
        <w:rPr>
          <w:rFonts w:ascii="Times New Roman" w:hAnsi="Times New Roman" w:eastAsia="宋体" w:cs="Times New Roman"/>
          <w:b/>
          <w:bCs/>
          <w:sz w:val="24"/>
          <w:szCs w:val="24"/>
        </w:rPr>
      </w:pPr>
      <w:bookmarkStart w:id="32" w:name="_Toc57812079"/>
      <w:bookmarkStart w:id="33" w:name="_Toc57811859"/>
      <w:bookmarkStart w:id="34" w:name="_Toc57821194"/>
      <w:bookmarkStart w:id="35" w:name="_Hlk80456961"/>
      <w:r>
        <w:rPr>
          <w:rFonts w:hint="eastAsia" w:ascii="Times New Roman" w:hAnsi="Times New Roman" w:eastAsia="宋体" w:cs="Times New Roman"/>
          <w:b/>
          <w:bCs/>
          <w:sz w:val="24"/>
          <w:szCs w:val="24"/>
        </w:rPr>
        <w:t>2.1</w:t>
      </w:r>
      <w:r>
        <w:rPr>
          <w:rFonts w:ascii="Times New Roman" w:hAnsi="Times New Roman" w:eastAsia="宋体" w:cs="Times New Roman"/>
          <w:b/>
          <w:bCs/>
          <w:sz w:val="24"/>
          <w:szCs w:val="24"/>
        </w:rPr>
        <w:t>设备</w:t>
      </w:r>
      <w:bookmarkEnd w:id="32"/>
      <w:bookmarkEnd w:id="33"/>
      <w:bookmarkEnd w:id="34"/>
      <w:r>
        <w:rPr>
          <w:rFonts w:hint="eastAsia" w:ascii="Times New Roman" w:hAnsi="Times New Roman" w:eastAsia="宋体" w:cs="Times New Roman"/>
          <w:b/>
          <w:bCs/>
          <w:sz w:val="24"/>
          <w:szCs w:val="24"/>
        </w:rPr>
        <w:t>用途</w:t>
      </w:r>
      <w:bookmarkEnd w:id="35"/>
    </w:p>
    <w:p>
      <w:pPr>
        <w:spacing w:line="36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桌面HIL测试系统用于XEV混动系统（P</w:t>
      </w:r>
      <w:r>
        <w:rPr>
          <w:rFonts w:ascii="Times New Roman" w:hAnsi="Times New Roman" w:eastAsia="宋体" w:cs="Times New Roman"/>
          <w:sz w:val="24"/>
          <w:szCs w:val="21"/>
        </w:rPr>
        <w:t>2+</w:t>
      </w:r>
      <w:r>
        <w:rPr>
          <w:rFonts w:hint="eastAsia" w:ascii="Times New Roman" w:hAnsi="Times New Roman" w:eastAsia="宋体" w:cs="Times New Roman"/>
          <w:sz w:val="24"/>
          <w:szCs w:val="21"/>
        </w:rPr>
        <w:t>P</w:t>
      </w:r>
      <w:r>
        <w:rPr>
          <w:rFonts w:ascii="Times New Roman" w:hAnsi="Times New Roman" w:eastAsia="宋体" w:cs="Times New Roman"/>
          <w:sz w:val="24"/>
          <w:szCs w:val="21"/>
        </w:rPr>
        <w:t>4</w:t>
      </w:r>
      <w:r>
        <w:rPr>
          <w:rFonts w:hint="eastAsia" w:ascii="Times New Roman" w:hAnsi="Times New Roman" w:eastAsia="宋体" w:cs="Times New Roman"/>
          <w:sz w:val="24"/>
          <w:szCs w:val="21"/>
        </w:rPr>
        <w:t>）、P2混动系统、增程混动系统、EBS、EHPS、ECAS各控制器的功能测试、自动化测试，其中混合动力系统车辆物理模型支持的控制器调试功能包括但不限于整车控制、热管理控制、AMT变速箱控制、电驱桥换挡变速箱控制、PCC控制、PGS控制、PHC控制等。本测试系统是基于HIL技术的车辆仿真测试平台，主要实现车辆整车模型的实时运行，模拟被测控制器的输入信号，采集各控制器的输出和必要的输入信号，实现控制器对实时模型的闭环控制。</w:t>
      </w:r>
    </w:p>
    <w:p>
      <w:pPr>
        <w:spacing w:line="360" w:lineRule="auto"/>
        <w:outlineLvl w:val="3"/>
        <w:rPr>
          <w:rFonts w:ascii="Times New Roman" w:hAnsi="Times New Roman" w:eastAsia="宋体" w:cs="Times New Roman"/>
          <w:b/>
          <w:bCs/>
          <w:sz w:val="24"/>
          <w:szCs w:val="24"/>
        </w:rPr>
      </w:pPr>
      <w:bookmarkStart w:id="36" w:name="_Hlk80456973"/>
      <w:r>
        <w:rPr>
          <w:rFonts w:hint="eastAsia" w:ascii="Times New Roman" w:hAnsi="Times New Roman" w:eastAsia="宋体" w:cs="Times New Roman"/>
          <w:b/>
          <w:bCs/>
          <w:sz w:val="24"/>
          <w:szCs w:val="24"/>
        </w:rPr>
        <w:t>2.2设备功能</w:t>
      </w:r>
      <w:bookmarkEnd w:id="36"/>
    </w:p>
    <w:p>
      <w:pPr>
        <w:spacing w:line="36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投标方应完成招标方指定控制器的闭环仿真。针对各控制器可进行如下测试：</w:t>
      </w:r>
    </w:p>
    <w:p>
      <w:pPr>
        <w:pStyle w:val="34"/>
        <w:spacing w:line="360" w:lineRule="auto"/>
        <w:ind w:left="480"/>
        <w:rPr>
          <w:rFonts w:ascii="Times New Roman" w:hAnsi="Times New Roman" w:cs="宋体"/>
          <w:szCs w:val="24"/>
        </w:rPr>
      </w:pPr>
      <w:r>
        <w:rPr>
          <w:rFonts w:hint="eastAsia" w:ascii="Times New Roman" w:hAnsi="Times New Roman" w:cs="宋体"/>
          <w:szCs w:val="24"/>
        </w:rPr>
        <w:t>1、电气接口测试：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①最大工作电压测试；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②最小工作电压测试；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③输入信号采集测试；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④开关信号采集；</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⑤温度信号采集；</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⑥压力信号采集等；</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⑦输入输出之间的逻辑关系测试。</w:t>
      </w:r>
    </w:p>
    <w:p>
      <w:pPr>
        <w:pStyle w:val="34"/>
        <w:spacing w:line="360" w:lineRule="auto"/>
        <w:ind w:left="480"/>
        <w:rPr>
          <w:rFonts w:ascii="Times New Roman" w:hAnsi="Times New Roman" w:cs="宋体"/>
          <w:szCs w:val="24"/>
        </w:rPr>
      </w:pPr>
      <w:r>
        <w:rPr>
          <w:rFonts w:hint="eastAsia" w:ascii="Times New Roman" w:hAnsi="Times New Roman" w:cs="宋体"/>
          <w:szCs w:val="24"/>
        </w:rPr>
        <w:t>2、通讯测试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①协议一致性测试；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②交互逻辑测试；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③Checksum算法测试；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④LiveCounter测试；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⑤总线故障测试。</w:t>
      </w:r>
    </w:p>
    <w:p>
      <w:pPr>
        <w:pStyle w:val="34"/>
        <w:spacing w:line="360" w:lineRule="auto"/>
        <w:ind w:left="480"/>
        <w:rPr>
          <w:rFonts w:ascii="Times New Roman" w:hAnsi="Times New Roman" w:cs="宋体"/>
          <w:szCs w:val="24"/>
        </w:rPr>
      </w:pPr>
      <w:r>
        <w:rPr>
          <w:rFonts w:hint="eastAsia" w:ascii="Times New Roman" w:hAnsi="Times New Roman" w:cs="宋体"/>
          <w:szCs w:val="24"/>
        </w:rPr>
        <w:t>3、闭环工况下的软件功能逻辑测试</w:t>
      </w:r>
    </w:p>
    <w:p>
      <w:pPr>
        <w:pStyle w:val="34"/>
        <w:spacing w:line="360" w:lineRule="auto"/>
        <w:ind w:left="480"/>
        <w:rPr>
          <w:rFonts w:ascii="Times New Roman" w:hAnsi="Times New Roman" w:cs="宋体"/>
          <w:szCs w:val="24"/>
        </w:rPr>
      </w:pPr>
      <w:r>
        <w:rPr>
          <w:rFonts w:hint="eastAsia" w:ascii="Times New Roman" w:hAnsi="Times New Roman" w:cs="宋体"/>
          <w:szCs w:val="24"/>
        </w:rPr>
        <w:t>4、故障诊断策略测试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①输入信号超限测试；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②输入信号不合理测试；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③输入信号丢失测试；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④输入信号开路故障测试；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⑤输入信号短路故障测试；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⑥输出信号开路故障测试；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⑦输出信号短路故障测试；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⑧总线Bussoff测试；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⑨总线信号发送周期不合理测试；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⑩上述故障组合测试；</w:t>
      </w:r>
    </w:p>
    <w:p>
      <w:pPr>
        <w:pStyle w:val="34"/>
        <w:spacing w:line="360" w:lineRule="auto"/>
        <w:ind w:left="420" w:leftChars="200"/>
        <w:rPr>
          <w:rFonts w:ascii="Times New Roman" w:hAnsi="Times New Roman" w:cs="宋体"/>
          <w:szCs w:val="24"/>
        </w:rPr>
      </w:pPr>
      <w:r>
        <w:rPr>
          <w:rFonts w:hint="eastAsia" w:ascii="Times New Roman" w:hAnsi="Times New Roman" w:cs="宋体"/>
          <w:szCs w:val="24"/>
        </w:rPr>
        <w:t>⑪动态工况过程中的信号故障测试等。</w:t>
      </w:r>
    </w:p>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3 HIL硬件系统技术要求</w:t>
      </w:r>
    </w:p>
    <w:p>
      <w:pPr>
        <w:spacing w:line="360" w:lineRule="auto"/>
        <w:outlineLvl w:val="3"/>
        <w:rPr>
          <w:rFonts w:ascii="Times New Roman" w:hAnsi="Times New Roman" w:eastAsia="宋体" w:cs="Times New Roman"/>
          <w:b/>
          <w:bCs/>
          <w:sz w:val="24"/>
          <w:szCs w:val="24"/>
        </w:rPr>
      </w:pPr>
      <w:bookmarkStart w:id="37" w:name="_Hlk92440875"/>
      <w:r>
        <w:rPr>
          <w:rFonts w:hint="eastAsia" w:ascii="Times New Roman" w:hAnsi="Times New Roman" w:eastAsia="宋体" w:cs="Times New Roman"/>
          <w:b/>
          <w:bCs/>
          <w:sz w:val="24"/>
          <w:szCs w:val="24"/>
        </w:rPr>
        <w:t>3.1硬件资源需求</w:t>
      </w:r>
    </w:p>
    <w:p>
      <w:pPr>
        <w:spacing w:line="30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下面表格中提出的所有资源需求均为外部</w:t>
      </w:r>
      <w:bookmarkStart w:id="38" w:name="_Hlk92440952"/>
      <w:r>
        <w:rPr>
          <w:rFonts w:hint="eastAsia" w:ascii="Times New Roman" w:hAnsi="Times New Roman" w:eastAsia="宋体" w:cs="Times New Roman"/>
          <w:sz w:val="24"/>
          <w:szCs w:val="21"/>
        </w:rPr>
        <w:t>可供待测控制器使用的需求</w:t>
      </w:r>
      <w:bookmarkEnd w:id="38"/>
      <w:r>
        <w:rPr>
          <w:rFonts w:hint="eastAsia" w:ascii="Times New Roman" w:hAnsi="Times New Roman" w:eastAsia="宋体" w:cs="Times New Roman"/>
          <w:sz w:val="24"/>
          <w:szCs w:val="21"/>
        </w:rPr>
        <w:t>，HIL系统内部使用不得占用。</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3.1.1 新能源控制器 HIL硬件机柜硬件资源需求</w:t>
      </w:r>
    </w:p>
    <w:p>
      <w:pPr>
        <w:numPr>
          <w:ilvl w:val="2"/>
          <w:numId w:val="0"/>
        </w:numPr>
        <w:tabs>
          <w:tab w:val="left" w:pos="624"/>
        </w:tabs>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1）XEV混动系统（P</w:t>
      </w:r>
      <w:r>
        <w:rPr>
          <w:rFonts w:ascii="Times New Roman" w:hAnsi="Times New Roman" w:eastAsia="宋体" w:cs="Times New Roman"/>
          <w:sz w:val="24"/>
          <w:szCs w:val="21"/>
        </w:rPr>
        <w:t>2+P4</w:t>
      </w:r>
      <w:r>
        <w:rPr>
          <w:rFonts w:hint="eastAsia" w:ascii="Times New Roman" w:hAnsi="Times New Roman" w:eastAsia="宋体" w:cs="Times New Roman"/>
          <w:sz w:val="24"/>
          <w:szCs w:val="21"/>
        </w:rPr>
        <w:t>）台架，资源需求如下</w:t>
      </w:r>
    </w:p>
    <w:bookmarkEnd w:id="37"/>
    <w:tbl>
      <w:tblPr>
        <w:tblStyle w:val="39"/>
        <w:tblW w:w="42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4"/>
        <w:gridCol w:w="3616"/>
        <w:gridCol w:w="2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资源分类</w:t>
            </w:r>
          </w:p>
        </w:tc>
        <w:tc>
          <w:tcPr>
            <w:tcW w:w="226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HIL资源类型</w:t>
            </w:r>
          </w:p>
        </w:tc>
        <w:tc>
          <w:tcPr>
            <w:tcW w:w="1378"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数量需求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实时系统</w:t>
            </w:r>
          </w:p>
        </w:tc>
        <w:tc>
          <w:tcPr>
            <w:tcW w:w="226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实时仿真机</w:t>
            </w:r>
          </w:p>
        </w:tc>
        <w:tc>
          <w:tcPr>
            <w:tcW w:w="1378" w:type="pct"/>
            <w:shd w:val="clear" w:color="auto" w:fill="FFFFFF"/>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6" w:type="pct"/>
            <w:vMerge w:val="restart"/>
            <w:vAlign w:val="center"/>
          </w:tcPr>
          <w:p>
            <w:pPr>
              <w:spacing w:line="480" w:lineRule="auto"/>
              <w:rPr>
                <w:rFonts w:ascii="Times New Roman" w:hAnsi="Times New Roman" w:eastAsia="宋体" w:cs="Times New Roman"/>
                <w:szCs w:val="21"/>
              </w:rPr>
            </w:pPr>
            <w:r>
              <w:rPr>
                <w:rFonts w:hint="eastAsia" w:ascii="Times New Roman" w:hAnsi="Times New Roman" w:eastAsia="宋体" w:cs="Times New Roman"/>
                <w:szCs w:val="21"/>
              </w:rPr>
              <w:t>通用IO资源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模拟输入通道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模拟输出通道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2</w:t>
            </w:r>
            <w:r>
              <w:rPr>
                <w:rFonts w:hint="eastAsia" w:ascii="Times New Roman" w:hAnsi="Times New Roman" w:eastAsia="宋体" w:cs="Times New Roman"/>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输入通道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输出通道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电阻输出通道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电流采集</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电感型位置传感器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磁电型转速传感器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霍尔电压型转速传感器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霍尔电流型转速传感器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ascii="Times New Roman" w:hAnsi="Times New Roman" w:eastAsia="宋体"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总线仿真资源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CAN</w:t>
            </w:r>
            <w:r>
              <w:rPr>
                <w:rFonts w:ascii="Times New Roman" w:hAnsi="Times New Roman" w:eastAsia="宋体" w:cs="Times New Roman"/>
                <w:szCs w:val="21"/>
              </w:rPr>
              <w:t>/CANFD</w:t>
            </w:r>
            <w:r>
              <w:rPr>
                <w:rFonts w:hint="eastAsia" w:ascii="Times New Roman" w:hAnsi="Times New Roman" w:eastAsia="宋体" w:cs="Times New Roman"/>
                <w:szCs w:val="21"/>
              </w:rPr>
              <w:t>通讯通道</w:t>
            </w:r>
          </w:p>
        </w:tc>
        <w:tc>
          <w:tcPr>
            <w:tcW w:w="1378" w:type="pct"/>
            <w:vAlign w:val="center"/>
          </w:tcPr>
          <w:p>
            <w:pPr>
              <w:spacing w:line="300" w:lineRule="auto"/>
              <w:jc w:val="center"/>
              <w:rPr>
                <w:rFonts w:hint="eastAsia" w:ascii="Times New Roman" w:hAnsi="Times New Roman" w:eastAsia="宋体" w:cs="Times New Roman"/>
                <w:szCs w:val="21"/>
                <w:lang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LIN通道</w:t>
            </w:r>
          </w:p>
        </w:tc>
        <w:tc>
          <w:tcPr>
            <w:tcW w:w="1378" w:type="pct"/>
            <w:vAlign w:val="center"/>
          </w:tcPr>
          <w:p>
            <w:pPr>
              <w:spacing w:line="300" w:lineRule="auto"/>
              <w:jc w:val="center"/>
              <w:rPr>
                <w:rFonts w:hint="eastAsia" w:ascii="Times New Roman" w:hAnsi="Times New Roman" w:eastAsia="宋体" w:cs="Times New Roman"/>
                <w:szCs w:val="21"/>
                <w:lang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车载以太网通道</w:t>
            </w:r>
          </w:p>
        </w:tc>
        <w:tc>
          <w:tcPr>
            <w:tcW w:w="1378" w:type="pct"/>
            <w:vAlign w:val="center"/>
          </w:tcPr>
          <w:p>
            <w:pPr>
              <w:spacing w:line="300" w:lineRule="auto"/>
              <w:jc w:val="center"/>
              <w:rPr>
                <w:rFonts w:hint="eastAsia"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供电及故障注入</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低压程控电源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ECU供电管理通道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故障注入通道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软件</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试验管理软件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自动化测试软件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IO模型生成工具</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模型</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驾驶员模型，发动机模型，AMT变速箱模型，P2电机模型，P4电机模型，离合器模型，电驱桥换挡变速箱模型，差速器模型，主减模型，电池模型，热管理模型、多合一模型、总线接口模型、虚拟控制器模型</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其他</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BOB</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上位机及显示器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服务</w:t>
            </w: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测试设备硬件集成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ascii="Times New Roman" w:hAnsi="Times New Roman" w:eastAsia="宋体" w:cs="Times New Roman"/>
                <w:szCs w:val="21"/>
              </w:rPr>
              <w:t>IO模型</w:t>
            </w:r>
            <w:r>
              <w:rPr>
                <w:rFonts w:hint="eastAsia" w:ascii="Times New Roman" w:hAnsi="Times New Roman" w:eastAsia="宋体" w:cs="Times New Roman"/>
                <w:szCs w:val="21"/>
              </w:rPr>
              <w:t>搭建</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控制器开闭环测试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设备现场安装、调试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6"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技术培训</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bl>
    <w:p>
      <w:pPr>
        <w:rPr>
          <w:rFonts w:ascii="Times New Roman" w:hAnsi="Times New Roman"/>
        </w:rPr>
      </w:pPr>
    </w:p>
    <w:p>
      <w:pPr>
        <w:numPr>
          <w:ilvl w:val="0"/>
          <w:numId w:val="14"/>
        </w:numPr>
        <w:tabs>
          <w:tab w:val="left" w:pos="624"/>
        </w:tabs>
        <w:spacing w:line="360" w:lineRule="auto"/>
        <w:rPr>
          <w:rFonts w:hint="eastAsia" w:ascii="Times New Roman" w:hAnsi="Times New Roman" w:eastAsia="宋体" w:cs="Times New Roman"/>
          <w:color w:val="auto"/>
          <w:sz w:val="24"/>
          <w:szCs w:val="21"/>
        </w:rPr>
      </w:pPr>
      <w:r>
        <w:rPr>
          <w:rFonts w:hint="eastAsia" w:ascii="Times New Roman" w:hAnsi="Times New Roman" w:eastAsia="宋体" w:cs="Times New Roman"/>
          <w:color w:val="auto"/>
          <w:sz w:val="24"/>
          <w:szCs w:val="21"/>
        </w:rPr>
        <w:t>P2混动系统台架，资源需求如下：</w:t>
      </w:r>
    </w:p>
    <w:tbl>
      <w:tblPr>
        <w:tblStyle w:val="39"/>
        <w:tblW w:w="42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3"/>
        <w:gridCol w:w="3616"/>
        <w:gridCol w:w="2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资源分类</w:t>
            </w:r>
          </w:p>
        </w:tc>
        <w:tc>
          <w:tcPr>
            <w:tcW w:w="226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HIL资源类型</w:t>
            </w:r>
          </w:p>
        </w:tc>
        <w:tc>
          <w:tcPr>
            <w:tcW w:w="1378"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数量需求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实时系统</w:t>
            </w:r>
          </w:p>
        </w:tc>
        <w:tc>
          <w:tcPr>
            <w:tcW w:w="226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实时仿真机</w:t>
            </w:r>
          </w:p>
        </w:tc>
        <w:tc>
          <w:tcPr>
            <w:tcW w:w="1378" w:type="pct"/>
            <w:shd w:val="clear" w:color="auto" w:fill="FFFFFF"/>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480" w:lineRule="auto"/>
              <w:rPr>
                <w:rFonts w:ascii="Times New Roman" w:hAnsi="Times New Roman" w:eastAsia="宋体" w:cs="Times New Roman"/>
                <w:szCs w:val="21"/>
              </w:rPr>
            </w:pPr>
            <w:r>
              <w:rPr>
                <w:rFonts w:hint="eastAsia" w:ascii="Times New Roman" w:hAnsi="Times New Roman" w:eastAsia="宋体" w:cs="Times New Roman"/>
                <w:szCs w:val="21"/>
              </w:rPr>
              <w:t>通用IO资源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模拟输入通道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模拟输出通道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ascii="Times New Roman" w:hAnsi="Times New Roman" w:eastAsia="宋体" w:cs="Times New Roman"/>
                <w:szCs w:val="21"/>
              </w:rPr>
              <w:t>2</w:t>
            </w:r>
            <w:r>
              <w:rPr>
                <w:rFonts w:hint="eastAsia" w:ascii="Times New Roman" w:hAnsi="Times New Roman" w:eastAsia="宋体" w:cs="Times New Roman"/>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输入通道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输出通道</w:t>
            </w:r>
          </w:p>
        </w:tc>
        <w:tc>
          <w:tcPr>
            <w:tcW w:w="1378" w:type="pct"/>
            <w:vAlign w:val="center"/>
          </w:tcPr>
          <w:p>
            <w:pPr>
              <w:spacing w:line="300" w:lineRule="auto"/>
              <w:jc w:val="center"/>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电阻输出通道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电流采集</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电感型位置传感器</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磁电型转速传感器</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ascii="Times New Roman" w:hAnsi="Times New Roman" w:eastAsia="宋体"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霍尔电压型转速传感器</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ascii="Times New Roman" w:hAnsi="Times New Roman" w:eastAsia="宋体"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霍尔电流型转速传感器</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ascii="Times New Roman" w:hAnsi="Times New Roman" w:eastAsia="宋体"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总线仿真资源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CAN</w:t>
            </w:r>
            <w:r>
              <w:rPr>
                <w:rFonts w:ascii="Times New Roman" w:hAnsi="Times New Roman" w:eastAsia="宋体" w:cs="Times New Roman"/>
                <w:szCs w:val="21"/>
              </w:rPr>
              <w:t>/CANFD</w:t>
            </w:r>
            <w:r>
              <w:rPr>
                <w:rFonts w:hint="eastAsia" w:ascii="Times New Roman" w:hAnsi="Times New Roman" w:eastAsia="宋体" w:cs="Times New Roman"/>
                <w:szCs w:val="21"/>
              </w:rPr>
              <w:t>通讯通道</w:t>
            </w:r>
          </w:p>
        </w:tc>
        <w:tc>
          <w:tcPr>
            <w:tcW w:w="1378" w:type="pct"/>
            <w:vAlign w:val="center"/>
          </w:tcPr>
          <w:p>
            <w:pPr>
              <w:spacing w:line="30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LIN通道</w:t>
            </w:r>
          </w:p>
        </w:tc>
        <w:tc>
          <w:tcPr>
            <w:tcW w:w="1378" w:type="pct"/>
            <w:vAlign w:val="center"/>
          </w:tcPr>
          <w:p>
            <w:pPr>
              <w:spacing w:line="30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lang w:val="en-US" w:eastAsia="zh-CN"/>
              </w:rPr>
              <w:t>车载以太网通道</w:t>
            </w:r>
          </w:p>
        </w:tc>
        <w:tc>
          <w:tcPr>
            <w:tcW w:w="1378" w:type="pct"/>
            <w:vAlign w:val="center"/>
          </w:tcPr>
          <w:p>
            <w:pPr>
              <w:spacing w:line="30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供电及故障注入</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低压程控电源</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ECU供电管理通道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故障注入通道</w:t>
            </w:r>
          </w:p>
        </w:tc>
        <w:tc>
          <w:tcPr>
            <w:tcW w:w="1378" w:type="pct"/>
            <w:vAlign w:val="center"/>
          </w:tcPr>
          <w:p>
            <w:pPr>
              <w:spacing w:line="300" w:lineRule="auto"/>
              <w:jc w:val="center"/>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软件</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试验管理软件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自动化测试软件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IO模型生成工具</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模型</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驾驶员模型，发动机模型，AMT变速箱模型，P2电机模型，离合器模型，齿轮箱模型，差速器模型，主减模型，电池模型，热管理模型、多合一模型、总线接口模型、虚拟控制器模型</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其他</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BOB</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上位机及显示器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服务</w:t>
            </w: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测试设备硬件集成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ascii="Times New Roman" w:hAnsi="Times New Roman" w:eastAsia="宋体" w:cs="Times New Roman"/>
                <w:szCs w:val="21"/>
              </w:rPr>
              <w:t>IO模型</w:t>
            </w:r>
            <w:r>
              <w:rPr>
                <w:rFonts w:hint="eastAsia" w:ascii="Times New Roman" w:hAnsi="Times New Roman" w:eastAsia="宋体" w:cs="Times New Roman"/>
                <w:szCs w:val="21"/>
              </w:rPr>
              <w:t>搭建</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控制器开闭环测试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设备现场安装、调试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技术培训</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bl>
    <w:p>
      <w:pPr>
        <w:numPr>
          <w:ilvl w:val="0"/>
          <w:numId w:val="14"/>
        </w:numPr>
        <w:tabs>
          <w:tab w:val="left" w:pos="624"/>
        </w:tabs>
        <w:spacing w:line="360" w:lineRule="auto"/>
        <w:ind w:left="0" w:leftChars="0" w:firstLine="0" w:firstLineChars="0"/>
        <w:rPr>
          <w:rFonts w:hint="eastAsia" w:ascii="Times New Roman" w:hAnsi="Times New Roman" w:eastAsia="宋体" w:cs="Times New Roman"/>
          <w:color w:val="auto"/>
          <w:sz w:val="24"/>
          <w:szCs w:val="21"/>
        </w:rPr>
      </w:pPr>
      <w:r>
        <w:rPr>
          <w:rFonts w:hint="eastAsia" w:ascii="Times New Roman" w:hAnsi="Times New Roman" w:eastAsia="宋体" w:cs="Times New Roman"/>
          <w:color w:val="auto"/>
          <w:sz w:val="24"/>
          <w:szCs w:val="21"/>
        </w:rPr>
        <w:t>增程混动系统台架，资源需求如下</w:t>
      </w:r>
    </w:p>
    <w:tbl>
      <w:tblPr>
        <w:tblStyle w:val="39"/>
        <w:tblW w:w="42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3"/>
        <w:gridCol w:w="3616"/>
        <w:gridCol w:w="2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资源分类</w:t>
            </w:r>
          </w:p>
        </w:tc>
        <w:tc>
          <w:tcPr>
            <w:tcW w:w="226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HIL资源类型</w:t>
            </w:r>
          </w:p>
        </w:tc>
        <w:tc>
          <w:tcPr>
            <w:tcW w:w="1378"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数量需求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实时系统</w:t>
            </w:r>
          </w:p>
        </w:tc>
        <w:tc>
          <w:tcPr>
            <w:tcW w:w="226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实时仿真机</w:t>
            </w:r>
          </w:p>
        </w:tc>
        <w:tc>
          <w:tcPr>
            <w:tcW w:w="1378" w:type="pct"/>
            <w:shd w:val="clear" w:color="auto" w:fill="FFFFFF"/>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480" w:lineRule="auto"/>
              <w:rPr>
                <w:rFonts w:ascii="Times New Roman" w:hAnsi="Times New Roman" w:eastAsia="宋体" w:cs="Times New Roman"/>
                <w:szCs w:val="21"/>
              </w:rPr>
            </w:pPr>
            <w:r>
              <w:rPr>
                <w:rFonts w:hint="eastAsia" w:ascii="Times New Roman" w:hAnsi="Times New Roman" w:eastAsia="宋体" w:cs="Times New Roman"/>
                <w:szCs w:val="21"/>
              </w:rPr>
              <w:t>通用IO资源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模拟输入通道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模拟输出通道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ascii="Times New Roman" w:hAnsi="Times New Roman" w:eastAsia="宋体" w:cs="Times New Roman"/>
                <w:szCs w:val="21"/>
              </w:rPr>
              <w:t>2</w:t>
            </w:r>
            <w:r>
              <w:rPr>
                <w:rFonts w:hint="eastAsia" w:ascii="Times New Roman" w:hAnsi="Times New Roman" w:eastAsia="宋体" w:cs="Times New Roman"/>
                <w:szCs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输入通道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输出通道</w:t>
            </w:r>
          </w:p>
        </w:tc>
        <w:tc>
          <w:tcPr>
            <w:tcW w:w="1378" w:type="pct"/>
            <w:vAlign w:val="center"/>
          </w:tcPr>
          <w:p>
            <w:pPr>
              <w:spacing w:line="300" w:lineRule="auto"/>
              <w:jc w:val="center"/>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电阻输出通道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电流采集</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电感型位置传感器</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磁电型转速传感器</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ascii="Times New Roman" w:hAnsi="Times New Roman" w:eastAsia="宋体"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霍尔电压型转速传感器</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ascii="Times New Roman" w:hAnsi="Times New Roman" w:eastAsia="宋体"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霍尔电流型转速传感器</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ascii="Times New Roman" w:hAnsi="Times New Roman" w:eastAsia="宋体" w:cs="Times New Roman"/>
                <w:szCs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总线仿真资源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CAN</w:t>
            </w:r>
            <w:r>
              <w:rPr>
                <w:rFonts w:ascii="Times New Roman" w:hAnsi="Times New Roman" w:eastAsia="宋体" w:cs="Times New Roman"/>
                <w:szCs w:val="21"/>
              </w:rPr>
              <w:t>/CANFD</w:t>
            </w:r>
            <w:r>
              <w:rPr>
                <w:rFonts w:hint="eastAsia" w:ascii="Times New Roman" w:hAnsi="Times New Roman" w:eastAsia="宋体" w:cs="Times New Roman"/>
                <w:szCs w:val="21"/>
              </w:rPr>
              <w:t>通讯通道</w:t>
            </w:r>
          </w:p>
        </w:tc>
        <w:tc>
          <w:tcPr>
            <w:tcW w:w="1378" w:type="pct"/>
            <w:vAlign w:val="center"/>
          </w:tcPr>
          <w:p>
            <w:pPr>
              <w:spacing w:line="30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LIN通道</w:t>
            </w:r>
          </w:p>
        </w:tc>
        <w:tc>
          <w:tcPr>
            <w:tcW w:w="1378" w:type="pct"/>
            <w:vAlign w:val="center"/>
          </w:tcPr>
          <w:p>
            <w:pPr>
              <w:spacing w:line="30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故障注入通道</w:t>
            </w:r>
          </w:p>
        </w:tc>
        <w:tc>
          <w:tcPr>
            <w:tcW w:w="1378" w:type="pct"/>
            <w:vAlign w:val="center"/>
          </w:tcPr>
          <w:p>
            <w:pPr>
              <w:spacing w:line="30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供电及故障注入</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低压程控电源</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ECU供电管理通道</w:t>
            </w:r>
          </w:p>
        </w:tc>
        <w:tc>
          <w:tcPr>
            <w:tcW w:w="1378" w:type="pct"/>
            <w:vAlign w:val="center"/>
          </w:tcPr>
          <w:p>
            <w:pPr>
              <w:spacing w:line="300" w:lineRule="auto"/>
              <w:jc w:val="center"/>
              <w:rPr>
                <w:rFonts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故障注入通道</w:t>
            </w:r>
          </w:p>
        </w:tc>
        <w:tc>
          <w:tcPr>
            <w:tcW w:w="1378" w:type="pct"/>
            <w:vAlign w:val="center"/>
          </w:tcPr>
          <w:p>
            <w:pPr>
              <w:spacing w:line="300" w:lineRule="auto"/>
              <w:jc w:val="center"/>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软件</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试验管理软件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自动化测试软件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IO模型生成工具</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模型</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驾驶员模型，发动机模型，增程器模型，中央驱动电机模型、P4电机模型，离合器模型，中央驱动AMT变速箱模型，电驱桥换挡变速箱模型，差速器模型，主减模型，电池模型，多合一模型、总线接口模型、虚拟控制器模型</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其他</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BOB</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上位机及显示器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服务</w:t>
            </w: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测试设备硬件集成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ascii="Times New Roman" w:hAnsi="Times New Roman" w:eastAsia="宋体" w:cs="Times New Roman"/>
                <w:szCs w:val="21"/>
              </w:rPr>
              <w:t>IO模型</w:t>
            </w:r>
            <w:r>
              <w:rPr>
                <w:rFonts w:hint="eastAsia" w:ascii="Times New Roman" w:hAnsi="Times New Roman" w:eastAsia="宋体" w:cs="Times New Roman"/>
                <w:szCs w:val="21"/>
              </w:rPr>
              <w:t>搭建</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控制器开闭环测试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设备现场安装、调试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技术培训</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bl>
    <w:p>
      <w:pPr>
        <w:numPr>
          <w:ilvl w:val="0"/>
          <w:numId w:val="14"/>
        </w:numPr>
        <w:tabs>
          <w:tab w:val="left" w:pos="624"/>
        </w:tabs>
        <w:spacing w:line="360" w:lineRule="auto"/>
        <w:ind w:left="0" w:leftChars="0" w:firstLine="0" w:firstLineChars="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EBS台架，资源需求如下</w:t>
      </w:r>
    </w:p>
    <w:tbl>
      <w:tblPr>
        <w:tblStyle w:val="39"/>
        <w:tblW w:w="42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3"/>
        <w:gridCol w:w="3616"/>
        <w:gridCol w:w="2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资源分类</w:t>
            </w:r>
          </w:p>
        </w:tc>
        <w:tc>
          <w:tcPr>
            <w:tcW w:w="226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HIL资源类型</w:t>
            </w:r>
          </w:p>
        </w:tc>
        <w:tc>
          <w:tcPr>
            <w:tcW w:w="1378"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数量需求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实时系统</w:t>
            </w:r>
          </w:p>
        </w:tc>
        <w:tc>
          <w:tcPr>
            <w:tcW w:w="226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实时仿真机</w:t>
            </w:r>
          </w:p>
        </w:tc>
        <w:tc>
          <w:tcPr>
            <w:tcW w:w="1378" w:type="pct"/>
            <w:shd w:val="clear" w:color="auto" w:fill="FFFFFF"/>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480" w:lineRule="auto"/>
              <w:rPr>
                <w:rFonts w:ascii="Times New Roman" w:hAnsi="Times New Roman" w:eastAsia="宋体" w:cs="Times New Roman"/>
                <w:szCs w:val="21"/>
              </w:rPr>
            </w:pPr>
            <w:r>
              <w:rPr>
                <w:rFonts w:hint="eastAsia" w:ascii="Times New Roman" w:hAnsi="Times New Roman" w:eastAsia="宋体" w:cs="Times New Roman"/>
                <w:szCs w:val="21"/>
              </w:rPr>
              <w:t>通用IO资源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模拟输入通道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模拟输出通道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4" w:hRule="atLeast"/>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输入通道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输出通道</w:t>
            </w:r>
          </w:p>
        </w:tc>
        <w:tc>
          <w:tcPr>
            <w:tcW w:w="1378" w:type="pct"/>
            <w:vAlign w:val="center"/>
          </w:tcPr>
          <w:p>
            <w:pPr>
              <w:spacing w:line="300" w:lineRule="auto"/>
              <w:jc w:val="center"/>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电阻输出通道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转速信号仿真通道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总线仿真资源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CAN</w:t>
            </w:r>
            <w:r>
              <w:rPr>
                <w:rFonts w:ascii="Times New Roman" w:hAnsi="Times New Roman" w:eastAsia="宋体" w:cs="Times New Roman"/>
                <w:szCs w:val="21"/>
              </w:rPr>
              <w:t>/CANFD</w:t>
            </w:r>
            <w:r>
              <w:rPr>
                <w:rFonts w:hint="eastAsia" w:ascii="Times New Roman" w:hAnsi="Times New Roman" w:eastAsia="宋体" w:cs="Times New Roman"/>
                <w:szCs w:val="21"/>
              </w:rPr>
              <w:t>通讯通道</w:t>
            </w:r>
          </w:p>
        </w:tc>
        <w:tc>
          <w:tcPr>
            <w:tcW w:w="1378" w:type="pct"/>
            <w:vAlign w:val="center"/>
          </w:tcPr>
          <w:p>
            <w:pPr>
              <w:spacing w:line="300" w:lineRule="auto"/>
              <w:jc w:val="center"/>
              <w:rPr>
                <w:rFonts w:hint="eastAsia" w:ascii="Times New Roman" w:hAnsi="Times New Roman" w:eastAsia="宋体" w:cs="Times New Roman"/>
                <w:szCs w:val="21"/>
                <w:lang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LIN通道</w:t>
            </w:r>
          </w:p>
        </w:tc>
        <w:tc>
          <w:tcPr>
            <w:tcW w:w="1378" w:type="pct"/>
            <w:vAlign w:val="center"/>
          </w:tcPr>
          <w:p>
            <w:pPr>
              <w:spacing w:line="300" w:lineRule="auto"/>
              <w:jc w:val="center"/>
              <w:rPr>
                <w:rFonts w:hint="eastAsia" w:ascii="Times New Roman" w:hAnsi="Times New Roman" w:eastAsia="宋体" w:cs="Times New Roman"/>
                <w:szCs w:val="21"/>
                <w:lang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lang w:val="en-US" w:eastAsia="zh-CN"/>
              </w:rPr>
              <w:t>车载以太网</w:t>
            </w:r>
          </w:p>
        </w:tc>
        <w:tc>
          <w:tcPr>
            <w:tcW w:w="1378" w:type="pct"/>
            <w:vAlign w:val="center"/>
          </w:tcPr>
          <w:p>
            <w:pPr>
              <w:spacing w:line="300" w:lineRule="auto"/>
              <w:jc w:val="center"/>
              <w:rPr>
                <w:rFonts w:hint="eastAsia"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供电及故障注入</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低压程控电源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ECU供电管理通道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故障注入通道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电流采集通道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软件</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试验管理软件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自动化测试软件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IO模型生成工具</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模型</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驾驶员模型，发动机模型，电机模型，离合器模型，齿轮箱模型，差速器模型，主减模型，电池模型，制动系统模型、总线接口模型、虚拟控制器模型，可配置燃油车型和混动车型（P2电机、P4电机）</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其他</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BOB</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上位机及显示器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服务</w:t>
            </w: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测试设备硬件集成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ascii="Times New Roman" w:hAnsi="Times New Roman" w:eastAsia="宋体" w:cs="Times New Roman"/>
                <w:szCs w:val="21"/>
              </w:rPr>
              <w:t>IO模型</w:t>
            </w:r>
            <w:r>
              <w:rPr>
                <w:rFonts w:hint="eastAsia" w:ascii="Times New Roman" w:hAnsi="Times New Roman" w:eastAsia="宋体" w:cs="Times New Roman"/>
                <w:szCs w:val="21"/>
              </w:rPr>
              <w:t>搭建</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控制器开闭环测试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设备现场安装、调试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技术培训</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bl>
    <w:p>
      <w:pPr>
        <w:numPr>
          <w:ilvl w:val="0"/>
          <w:numId w:val="14"/>
        </w:numPr>
        <w:tabs>
          <w:tab w:val="left" w:pos="624"/>
        </w:tabs>
        <w:spacing w:line="360" w:lineRule="auto"/>
        <w:ind w:left="0" w:leftChars="0" w:firstLine="0" w:firstLineChars="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ECAS台架，资源需求如下</w:t>
      </w:r>
    </w:p>
    <w:tbl>
      <w:tblPr>
        <w:tblStyle w:val="39"/>
        <w:tblW w:w="42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3"/>
        <w:gridCol w:w="3616"/>
        <w:gridCol w:w="2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资源分类</w:t>
            </w:r>
          </w:p>
        </w:tc>
        <w:tc>
          <w:tcPr>
            <w:tcW w:w="226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HIL资源类型</w:t>
            </w:r>
          </w:p>
        </w:tc>
        <w:tc>
          <w:tcPr>
            <w:tcW w:w="1378"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数量需求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实时系统</w:t>
            </w:r>
          </w:p>
        </w:tc>
        <w:tc>
          <w:tcPr>
            <w:tcW w:w="226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实时仿真机</w:t>
            </w:r>
          </w:p>
        </w:tc>
        <w:tc>
          <w:tcPr>
            <w:tcW w:w="1378" w:type="pct"/>
            <w:shd w:val="clear" w:color="auto" w:fill="FFFFFF"/>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480" w:lineRule="auto"/>
              <w:rPr>
                <w:rFonts w:ascii="Times New Roman" w:hAnsi="Times New Roman" w:eastAsia="宋体" w:cs="Times New Roman"/>
                <w:szCs w:val="21"/>
              </w:rPr>
            </w:pPr>
            <w:r>
              <w:rPr>
                <w:rFonts w:hint="eastAsia" w:ascii="Times New Roman" w:hAnsi="Times New Roman" w:eastAsia="宋体" w:cs="Times New Roman"/>
                <w:szCs w:val="21"/>
              </w:rPr>
              <w:t>通用IO资源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模拟输入通道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模拟输出通道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bookmarkStart w:id="39" w:name="_Hlk195878468"/>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输入通道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输出通道</w:t>
            </w:r>
          </w:p>
        </w:tc>
        <w:tc>
          <w:tcPr>
            <w:tcW w:w="1378" w:type="pct"/>
            <w:vAlign w:val="center"/>
          </w:tcPr>
          <w:p>
            <w:pPr>
              <w:spacing w:line="300" w:lineRule="auto"/>
              <w:jc w:val="center"/>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20</w:t>
            </w:r>
          </w:p>
        </w:tc>
      </w:tr>
      <w:bookmarkEnd w:id="39"/>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电阻输出通道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转速信号仿真通道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总线仿真资源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CAN</w:t>
            </w:r>
            <w:r>
              <w:rPr>
                <w:rFonts w:ascii="Times New Roman" w:hAnsi="Times New Roman" w:eastAsia="宋体" w:cs="Times New Roman"/>
                <w:szCs w:val="21"/>
              </w:rPr>
              <w:t>/CANFD</w:t>
            </w:r>
            <w:r>
              <w:rPr>
                <w:rFonts w:hint="eastAsia" w:ascii="Times New Roman" w:hAnsi="Times New Roman" w:eastAsia="宋体" w:cs="Times New Roman"/>
                <w:szCs w:val="21"/>
              </w:rPr>
              <w:t>通讯通道</w:t>
            </w:r>
          </w:p>
        </w:tc>
        <w:tc>
          <w:tcPr>
            <w:tcW w:w="1378" w:type="pct"/>
            <w:vAlign w:val="center"/>
          </w:tcPr>
          <w:p>
            <w:pPr>
              <w:spacing w:line="300" w:lineRule="auto"/>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LIN通道</w:t>
            </w:r>
          </w:p>
        </w:tc>
        <w:tc>
          <w:tcPr>
            <w:tcW w:w="1378" w:type="pct"/>
            <w:vAlign w:val="center"/>
          </w:tcPr>
          <w:p>
            <w:pPr>
              <w:spacing w:line="300" w:lineRule="auto"/>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lang w:val="en-US" w:eastAsia="zh-CN"/>
              </w:rPr>
              <w:t>车载以太网</w:t>
            </w:r>
          </w:p>
        </w:tc>
        <w:tc>
          <w:tcPr>
            <w:tcW w:w="1378" w:type="pct"/>
            <w:vAlign w:val="center"/>
          </w:tcPr>
          <w:p>
            <w:pPr>
              <w:spacing w:line="30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供电及故障注入</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低压程控电源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ECU供电管理通道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故障注入通道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电流采集通道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软件</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试验管理软件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自动化测试软件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IO模型生成工具</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模型</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驾驶员模型，发动机模型，电机模型，离合器模型，齿轮箱模型，差速器模型，主减模型，电池模型、悬架模型、总线接口模型、虚拟控制器模型</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其他</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BOB</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上位机及显示器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服务</w:t>
            </w: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测试设备硬件集成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ascii="Times New Roman" w:hAnsi="Times New Roman" w:eastAsia="宋体" w:cs="Times New Roman"/>
                <w:szCs w:val="21"/>
              </w:rPr>
              <w:t>IO模型</w:t>
            </w:r>
            <w:r>
              <w:rPr>
                <w:rFonts w:hint="eastAsia" w:ascii="Times New Roman" w:hAnsi="Times New Roman" w:eastAsia="宋体" w:cs="Times New Roman"/>
                <w:szCs w:val="21"/>
              </w:rPr>
              <w:t>搭建</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控制器开闭环测试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设备现场安装、调试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技术培训</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bl>
    <w:p>
      <w:pPr>
        <w:numPr>
          <w:ilvl w:val="0"/>
          <w:numId w:val="14"/>
        </w:numPr>
        <w:tabs>
          <w:tab w:val="left" w:pos="624"/>
        </w:tabs>
        <w:spacing w:line="360" w:lineRule="auto"/>
        <w:ind w:left="0" w:leftChars="0" w:firstLine="0" w:firstLineChars="0"/>
        <w:rPr>
          <w:rFonts w:hint="eastAsia" w:ascii="Times New Roman" w:hAnsi="Times New Roman" w:eastAsia="宋体" w:cs="Times New Roman"/>
          <w:sz w:val="24"/>
          <w:szCs w:val="21"/>
        </w:rPr>
      </w:pPr>
      <w:r>
        <w:rPr>
          <w:rFonts w:hint="eastAsia" w:ascii="Times New Roman" w:hAnsi="Times New Roman" w:eastAsia="宋体" w:cs="Times New Roman"/>
          <w:sz w:val="24"/>
          <w:szCs w:val="21"/>
        </w:rPr>
        <w:t>EHPS台架，资源需求如下</w:t>
      </w:r>
    </w:p>
    <w:tbl>
      <w:tblPr>
        <w:tblStyle w:val="39"/>
        <w:tblW w:w="42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3"/>
        <w:gridCol w:w="3616"/>
        <w:gridCol w:w="2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资源分类</w:t>
            </w:r>
          </w:p>
        </w:tc>
        <w:tc>
          <w:tcPr>
            <w:tcW w:w="2265"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HIL资源类型</w:t>
            </w:r>
          </w:p>
        </w:tc>
        <w:tc>
          <w:tcPr>
            <w:tcW w:w="1378" w:type="pct"/>
            <w:shd w:val="clear" w:color="auto" w:fill="C5E0B3"/>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数量需求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实时系统</w:t>
            </w:r>
          </w:p>
        </w:tc>
        <w:tc>
          <w:tcPr>
            <w:tcW w:w="2265" w:type="pct"/>
            <w:shd w:val="clear" w:color="auto" w:fill="FFFFFF"/>
            <w:vAlign w:val="center"/>
          </w:tcPr>
          <w:p>
            <w:pPr>
              <w:spacing w:line="300" w:lineRule="auto"/>
              <w:jc w:val="left"/>
              <w:rPr>
                <w:rFonts w:ascii="Times New Roman" w:hAnsi="Times New Roman" w:eastAsia="宋体" w:cs="Times New Roman"/>
                <w:szCs w:val="21"/>
              </w:rPr>
            </w:pPr>
            <w:r>
              <w:rPr>
                <w:rFonts w:hint="eastAsia" w:ascii="Times New Roman" w:hAnsi="Times New Roman" w:eastAsia="宋体" w:cs="Times New Roman"/>
                <w:szCs w:val="21"/>
              </w:rPr>
              <w:t>实时仿真机</w:t>
            </w:r>
          </w:p>
        </w:tc>
        <w:tc>
          <w:tcPr>
            <w:tcW w:w="1378" w:type="pct"/>
            <w:shd w:val="clear" w:color="auto" w:fill="FFFFFF"/>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480" w:lineRule="auto"/>
              <w:rPr>
                <w:rFonts w:ascii="Times New Roman" w:hAnsi="Times New Roman" w:eastAsia="宋体" w:cs="Times New Roman"/>
                <w:szCs w:val="21"/>
              </w:rPr>
            </w:pPr>
            <w:r>
              <w:rPr>
                <w:rFonts w:hint="eastAsia" w:ascii="Times New Roman" w:hAnsi="Times New Roman" w:eastAsia="宋体" w:cs="Times New Roman"/>
                <w:szCs w:val="21"/>
              </w:rPr>
              <w:t>通用IO资源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模拟输入通道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模拟输出通道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输入通道</w:t>
            </w:r>
          </w:p>
        </w:tc>
        <w:tc>
          <w:tcPr>
            <w:tcW w:w="1378" w:type="pct"/>
            <w:vAlign w:val="center"/>
          </w:tcPr>
          <w:p>
            <w:pPr>
              <w:spacing w:line="300" w:lineRule="auto"/>
              <w:jc w:val="center"/>
              <w:rPr>
                <w:rFonts w:hint="default"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数字/</w:t>
            </w:r>
            <w:r>
              <w:rPr>
                <w:rFonts w:ascii="Times New Roman" w:hAnsi="Times New Roman" w:eastAsia="宋体" w:cs="Times New Roman"/>
                <w:szCs w:val="21"/>
              </w:rPr>
              <w:t>PWM</w:t>
            </w:r>
            <w:r>
              <w:rPr>
                <w:rFonts w:hint="eastAsia" w:ascii="Times New Roman" w:hAnsi="Times New Roman" w:eastAsia="宋体" w:cs="Times New Roman"/>
                <w:szCs w:val="21"/>
              </w:rPr>
              <w:t>输出通道</w:t>
            </w:r>
          </w:p>
        </w:tc>
        <w:tc>
          <w:tcPr>
            <w:tcW w:w="1378" w:type="pct"/>
            <w:vAlign w:val="center"/>
          </w:tcPr>
          <w:p>
            <w:pPr>
              <w:spacing w:line="300" w:lineRule="auto"/>
              <w:jc w:val="center"/>
              <w:rPr>
                <w:rFonts w:hint="default"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电阻输出通道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总线仿真资源</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CAN</w:t>
            </w:r>
            <w:r>
              <w:rPr>
                <w:rFonts w:ascii="Times New Roman" w:hAnsi="Times New Roman" w:eastAsia="宋体" w:cs="Times New Roman"/>
                <w:szCs w:val="21"/>
              </w:rPr>
              <w:t>/CANFD</w:t>
            </w:r>
            <w:r>
              <w:rPr>
                <w:rFonts w:hint="eastAsia" w:ascii="Times New Roman" w:hAnsi="Times New Roman" w:eastAsia="宋体" w:cs="Times New Roman"/>
                <w:szCs w:val="21"/>
              </w:rPr>
              <w:t>通讯通道</w:t>
            </w:r>
          </w:p>
        </w:tc>
        <w:tc>
          <w:tcPr>
            <w:tcW w:w="1378" w:type="pct"/>
            <w:vAlign w:val="center"/>
          </w:tcPr>
          <w:p>
            <w:pPr>
              <w:spacing w:line="300" w:lineRule="auto"/>
              <w:jc w:val="center"/>
              <w:rPr>
                <w:rFonts w:hint="eastAsia" w:ascii="Times New Roman" w:hAnsi="Times New Roman" w:eastAsia="宋体" w:cs="Times New Roman"/>
                <w:szCs w:val="21"/>
                <w:lang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LIN通道</w:t>
            </w:r>
          </w:p>
        </w:tc>
        <w:tc>
          <w:tcPr>
            <w:tcW w:w="1378" w:type="pct"/>
            <w:vAlign w:val="center"/>
          </w:tcPr>
          <w:p>
            <w:pPr>
              <w:spacing w:line="300" w:lineRule="auto"/>
              <w:jc w:val="center"/>
              <w:rPr>
                <w:rFonts w:hint="eastAsia" w:ascii="Times New Roman" w:hAnsi="Times New Roman" w:eastAsia="宋体" w:cs="Times New Roman"/>
                <w:szCs w:val="21"/>
                <w:lang w:val="en-US" w:eastAsia="zh-CN"/>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lang w:val="en-US" w:eastAsia="zh-CN"/>
              </w:rPr>
              <w:t>车载以太网</w:t>
            </w:r>
          </w:p>
        </w:tc>
        <w:tc>
          <w:tcPr>
            <w:tcW w:w="1378" w:type="pct"/>
            <w:vAlign w:val="center"/>
          </w:tcPr>
          <w:p>
            <w:pPr>
              <w:spacing w:line="300" w:lineRule="auto"/>
              <w:jc w:val="center"/>
              <w:rPr>
                <w:rFonts w:hint="eastAsia" w:ascii="Times New Roman" w:hAnsi="Times New Roman" w:eastAsia="宋体" w:cs="Times New Roman"/>
                <w:kern w:val="2"/>
                <w:sz w:val="21"/>
                <w:szCs w:val="21"/>
                <w:lang w:val="en-US" w:eastAsia="zh-CN" w:bidi="ar-SA"/>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供电及故障注入</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低压程控电源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ECU供电管理通道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故障注入通道</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w:t>
            </w:r>
            <w:r>
              <w:rPr>
                <w:rFonts w:hint="eastAsia" w:ascii="Times New Roman" w:hAnsi="Times New Roman" w:eastAsia="宋体" w:cs="Times New Roman"/>
                <w:szCs w:val="21"/>
                <w:lang w:val="en-US" w:eastAsia="zh-CN"/>
              </w:rPr>
              <w:t>1</w:t>
            </w:r>
            <w:r>
              <w:rPr>
                <w:rFonts w:hint="eastAsia" w:ascii="Times New Roman" w:hAnsi="Times New Roman" w:eastAsia="宋体" w:cs="Times New Roman"/>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负载台架</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EPS电机负载台架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软件</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试验管理软件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自动化测试软件</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IO模型生成工具</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模型</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驾驶员模型，发动机模型，电机模型，离合器模型，齿轮箱模型，差速器模型，主减模型，电池模型、液压转向系统模型、总线接口模型、虚拟控制器模型</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其他</w:t>
            </w: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BOB</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上位机及显示器</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restart"/>
            <w:vAlign w:val="center"/>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服务</w:t>
            </w: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测试设备硬件集成</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ascii="Times New Roman" w:hAnsi="Times New Roman" w:eastAsia="宋体" w:cs="Times New Roman"/>
                <w:szCs w:val="21"/>
              </w:rPr>
              <w:t>IO模型</w:t>
            </w:r>
            <w:r>
              <w:rPr>
                <w:rFonts w:hint="eastAsia" w:ascii="Times New Roman" w:hAnsi="Times New Roman" w:eastAsia="宋体" w:cs="Times New Roman"/>
                <w:szCs w:val="21"/>
              </w:rPr>
              <w:t>搭建</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控制器开闭环测试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设备现场安装、调试</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5" w:type="pct"/>
            <w:vMerge w:val="continue"/>
            <w:vAlign w:val="center"/>
          </w:tcPr>
          <w:p>
            <w:pPr>
              <w:spacing w:line="300" w:lineRule="auto"/>
              <w:rPr>
                <w:rFonts w:ascii="Times New Roman" w:hAnsi="Times New Roman" w:eastAsia="宋体" w:cs="Times New Roman"/>
                <w:szCs w:val="21"/>
              </w:rPr>
            </w:pPr>
          </w:p>
        </w:tc>
        <w:tc>
          <w:tcPr>
            <w:tcW w:w="2265" w:type="pct"/>
          </w:tcPr>
          <w:p>
            <w:pPr>
              <w:spacing w:line="300" w:lineRule="auto"/>
              <w:rPr>
                <w:rFonts w:ascii="Times New Roman" w:hAnsi="Times New Roman" w:eastAsia="宋体" w:cs="Times New Roman"/>
                <w:szCs w:val="21"/>
              </w:rPr>
            </w:pPr>
            <w:r>
              <w:rPr>
                <w:rFonts w:hint="eastAsia" w:ascii="Times New Roman" w:hAnsi="Times New Roman" w:eastAsia="宋体" w:cs="Times New Roman"/>
                <w:szCs w:val="21"/>
              </w:rPr>
              <w:t>技术培训</w:t>
            </w:r>
          </w:p>
        </w:tc>
        <w:tc>
          <w:tcPr>
            <w:tcW w:w="1378" w:type="pct"/>
            <w:vAlign w:val="center"/>
          </w:tcPr>
          <w:p>
            <w:pPr>
              <w:spacing w:line="300" w:lineRule="auto"/>
              <w:jc w:val="center"/>
              <w:rPr>
                <w:rFonts w:ascii="Times New Roman" w:hAnsi="Times New Roman" w:eastAsia="宋体" w:cs="Times New Roman"/>
                <w:szCs w:val="21"/>
              </w:rPr>
            </w:pPr>
            <w:r>
              <w:rPr>
                <w:rFonts w:hint="eastAsia" w:ascii="Times New Roman" w:hAnsi="Times New Roman" w:eastAsia="宋体" w:cs="Times New Roman"/>
                <w:szCs w:val="21"/>
              </w:rPr>
              <w:t>1</w:t>
            </w:r>
          </w:p>
        </w:tc>
      </w:tr>
    </w:tbl>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3.2 实时仿真机要求</w:t>
      </w:r>
    </w:p>
    <w:p>
      <w:pPr>
        <w:numPr>
          <w:ilvl w:val="0"/>
          <w:numId w:val="1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运行实时64位实时LINUX操作系统；</w:t>
      </w:r>
    </w:p>
    <w:p>
      <w:pPr>
        <w:numPr>
          <w:ilvl w:val="0"/>
          <w:numId w:val="1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CPU核数≥</w:t>
      </w:r>
      <w:r>
        <w:rPr>
          <w:rFonts w:hint="eastAsia" w:ascii="Times New Roman" w:hAnsi="Times New Roman" w:eastAsia="宋体" w:cs="Times New Roman"/>
          <w:sz w:val="24"/>
          <w:szCs w:val="21"/>
          <w:lang w:val="en-US" w:eastAsia="zh-CN"/>
        </w:rPr>
        <w:t>4</w:t>
      </w:r>
      <w:r>
        <w:rPr>
          <w:rFonts w:hint="eastAsia" w:ascii="Times New Roman" w:hAnsi="Times New Roman" w:eastAsia="宋体" w:cs="Times New Roman"/>
          <w:sz w:val="24"/>
          <w:szCs w:val="21"/>
        </w:rPr>
        <w:t>，每核最高主频≥</w:t>
      </w:r>
      <w:r>
        <w:rPr>
          <w:rFonts w:hint="eastAsia" w:ascii="Times New Roman" w:hAnsi="Times New Roman" w:eastAsia="宋体" w:cs="Times New Roman"/>
          <w:sz w:val="24"/>
          <w:szCs w:val="21"/>
          <w:lang w:val="en-US" w:eastAsia="zh-CN"/>
        </w:rPr>
        <w:t>2.2</w:t>
      </w:r>
      <w:r>
        <w:rPr>
          <w:rFonts w:ascii="Times New Roman" w:hAnsi="Times New Roman" w:eastAsia="宋体" w:cs="Times New Roman"/>
          <w:sz w:val="24"/>
          <w:szCs w:val="21"/>
        </w:rPr>
        <w:t>GHz</w:t>
      </w:r>
      <w:r>
        <w:rPr>
          <w:rFonts w:hint="eastAsia" w:ascii="Times New Roman" w:hAnsi="Times New Roman" w:eastAsia="宋体" w:cs="Times New Roman"/>
          <w:sz w:val="24"/>
          <w:szCs w:val="21"/>
        </w:rPr>
        <w:t>，用户可根据需要指定任意核运行仿真模型；</w:t>
      </w:r>
    </w:p>
    <w:p>
      <w:pPr>
        <w:numPr>
          <w:ilvl w:val="0"/>
          <w:numId w:val="1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内存≥</w:t>
      </w:r>
      <w:r>
        <w:rPr>
          <w:rFonts w:hint="eastAsia" w:ascii="Times New Roman" w:hAnsi="Times New Roman" w:eastAsia="宋体" w:cs="Times New Roman"/>
          <w:sz w:val="24"/>
          <w:szCs w:val="21"/>
          <w:lang w:val="en-US" w:eastAsia="zh-CN"/>
        </w:rPr>
        <w:t>8</w:t>
      </w:r>
      <w:r>
        <w:rPr>
          <w:rFonts w:ascii="Times New Roman" w:hAnsi="Times New Roman" w:eastAsia="宋体" w:cs="Times New Roman"/>
          <w:sz w:val="24"/>
          <w:szCs w:val="21"/>
        </w:rPr>
        <w:t>G</w:t>
      </w:r>
      <w:r>
        <w:rPr>
          <w:rFonts w:hint="eastAsia" w:ascii="Times New Roman" w:hAnsi="Times New Roman" w:eastAsia="宋体" w:cs="Times New Roman"/>
          <w:sz w:val="24"/>
          <w:szCs w:val="21"/>
        </w:rPr>
        <w:t>，DDR4及以上</w:t>
      </w:r>
      <w:r>
        <w:rPr>
          <w:rFonts w:hint="eastAsia" w:ascii="Times New Roman" w:hAnsi="Times New Roman" w:eastAsia="宋体" w:cs="Times New Roman"/>
          <w:sz w:val="24"/>
          <w:szCs w:val="21"/>
          <w:lang w:eastAsia="zh-CN"/>
        </w:rPr>
        <w:t>。</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3.3通用IO通道技术要求</w:t>
      </w:r>
    </w:p>
    <w:p>
      <w:pPr>
        <w:spacing w:line="360" w:lineRule="auto"/>
        <w:outlineLvl w:val="4"/>
        <w:rPr>
          <w:rFonts w:ascii="Times New Roman" w:hAnsi="Times New Roman" w:eastAsia="宋体" w:cs="Times New Roman"/>
          <w:sz w:val="24"/>
          <w:szCs w:val="24"/>
        </w:rPr>
      </w:pPr>
      <w:bookmarkStart w:id="40" w:name="_Toc36026828"/>
      <w:bookmarkStart w:id="41" w:name="_Toc36027001"/>
      <w:r>
        <w:rPr>
          <w:rFonts w:hint="eastAsia" w:ascii="Times New Roman" w:hAnsi="Times New Roman" w:eastAsia="宋体" w:cs="Times New Roman"/>
          <w:sz w:val="24"/>
          <w:szCs w:val="24"/>
        </w:rPr>
        <w:t>3.3.1模拟输入通道</w:t>
      </w:r>
      <w:bookmarkEnd w:id="40"/>
      <w:bookmarkEnd w:id="41"/>
    </w:p>
    <w:p>
      <w:pPr>
        <w:numPr>
          <w:ilvl w:val="0"/>
          <w:numId w:val="1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分辨率：≥</w:t>
      </w:r>
      <w:r>
        <w:rPr>
          <w:rFonts w:ascii="Times New Roman" w:hAnsi="Times New Roman" w:eastAsia="宋体" w:cs="Times New Roman"/>
          <w:sz w:val="24"/>
          <w:szCs w:val="21"/>
        </w:rPr>
        <w:t>1</w:t>
      </w:r>
      <w:r>
        <w:rPr>
          <w:rFonts w:hint="eastAsia" w:ascii="Times New Roman" w:hAnsi="Times New Roman" w:eastAsia="宋体" w:cs="Times New Roman"/>
          <w:sz w:val="24"/>
          <w:szCs w:val="21"/>
        </w:rPr>
        <w:t>6</w:t>
      </w:r>
      <w:r>
        <w:rPr>
          <w:rFonts w:ascii="Times New Roman" w:hAnsi="Times New Roman" w:eastAsia="宋体" w:cs="Times New Roman"/>
          <w:sz w:val="24"/>
          <w:szCs w:val="21"/>
        </w:rPr>
        <w:t>bit</w:t>
      </w:r>
      <w:r>
        <w:rPr>
          <w:rFonts w:hint="eastAsia" w:ascii="Times New Roman" w:hAnsi="Times New Roman" w:eastAsia="宋体" w:cs="Times New Roman"/>
          <w:sz w:val="24"/>
          <w:szCs w:val="21"/>
        </w:rPr>
        <w:t>；</w:t>
      </w:r>
    </w:p>
    <w:p>
      <w:pPr>
        <w:numPr>
          <w:ilvl w:val="0"/>
          <w:numId w:val="1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采样率：≥52k</w:t>
      </w:r>
      <w:r>
        <w:rPr>
          <w:rFonts w:ascii="Times New Roman" w:hAnsi="Times New Roman" w:eastAsia="宋体" w:cs="Times New Roman"/>
          <w:sz w:val="24"/>
          <w:szCs w:val="21"/>
        </w:rPr>
        <w:t xml:space="preserve"> Sample/s</w:t>
      </w:r>
      <w:r>
        <w:rPr>
          <w:rFonts w:hint="eastAsia" w:ascii="Times New Roman" w:hAnsi="Times New Roman" w:eastAsia="宋体" w:cs="Times New Roman"/>
          <w:sz w:val="24"/>
          <w:szCs w:val="21"/>
        </w:rPr>
        <w:t>；</w:t>
      </w:r>
    </w:p>
    <w:p>
      <w:pPr>
        <w:numPr>
          <w:ilvl w:val="0"/>
          <w:numId w:val="1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电压采集范围</w:t>
      </w:r>
      <w:r>
        <w:rPr>
          <w:rFonts w:ascii="Times New Roman" w:hAnsi="Times New Roman" w:eastAsia="宋体" w:cs="Times New Roman"/>
          <w:sz w:val="24"/>
          <w:szCs w:val="21"/>
        </w:rPr>
        <w:t>可以</w:t>
      </w:r>
      <w:r>
        <w:rPr>
          <w:rFonts w:hint="eastAsia" w:ascii="Times New Roman" w:hAnsi="Times New Roman" w:eastAsia="宋体" w:cs="Times New Roman"/>
          <w:sz w:val="24"/>
          <w:szCs w:val="21"/>
        </w:rPr>
        <w:t>通过软件</w:t>
      </w:r>
      <w:r>
        <w:rPr>
          <w:rFonts w:ascii="Times New Roman" w:hAnsi="Times New Roman" w:eastAsia="宋体" w:cs="Times New Roman"/>
          <w:sz w:val="24"/>
          <w:szCs w:val="21"/>
        </w:rPr>
        <w:t>配置</w:t>
      </w:r>
      <w:r>
        <w:rPr>
          <w:rFonts w:hint="eastAsia" w:ascii="Times New Roman" w:hAnsi="Times New Roman" w:eastAsia="宋体" w:cs="Times New Roman"/>
          <w:sz w:val="24"/>
          <w:szCs w:val="21"/>
        </w:rPr>
        <w:t>，量程</w:t>
      </w:r>
      <w:r>
        <w:rPr>
          <w:rFonts w:ascii="Times New Roman" w:hAnsi="Times New Roman" w:eastAsia="宋体" w:cs="Times New Roman"/>
          <w:sz w:val="24"/>
          <w:szCs w:val="21"/>
        </w:rPr>
        <w:t>0V</w:t>
      </w:r>
      <w:r>
        <w:rPr>
          <w:rFonts w:hint="eastAsia" w:ascii="Times New Roman" w:hAnsi="Times New Roman" w:eastAsia="宋体" w:cs="Times New Roman"/>
          <w:sz w:val="24"/>
          <w:szCs w:val="21"/>
        </w:rPr>
        <w:t>~</w:t>
      </w:r>
      <w:r>
        <w:rPr>
          <w:rFonts w:ascii="Times New Roman" w:hAnsi="Times New Roman" w:eastAsia="宋体" w:cs="Times New Roman"/>
          <w:sz w:val="24"/>
          <w:szCs w:val="21"/>
        </w:rPr>
        <w:t>60</w:t>
      </w:r>
      <w:r>
        <w:rPr>
          <w:rFonts w:hint="eastAsia" w:ascii="Times New Roman" w:hAnsi="Times New Roman" w:eastAsia="宋体" w:cs="Times New Roman"/>
          <w:sz w:val="24"/>
          <w:szCs w:val="21"/>
        </w:rPr>
        <w:t>V；</w:t>
      </w:r>
      <w:r>
        <w:rPr>
          <w:rFonts w:ascii="Times New Roman" w:hAnsi="Times New Roman" w:eastAsia="宋体" w:cs="Times New Roman"/>
          <w:sz w:val="24"/>
          <w:szCs w:val="21"/>
        </w:rPr>
        <w:t xml:space="preserve"> </w:t>
      </w:r>
    </w:p>
    <w:p>
      <w:pPr>
        <w:numPr>
          <w:ilvl w:val="0"/>
          <w:numId w:val="1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过压保护范围：</w:t>
      </w:r>
      <w:r>
        <w:rPr>
          <w:rFonts w:ascii="Times New Roman" w:hAnsi="Times New Roman" w:eastAsia="宋体" w:cs="Times New Roman"/>
          <w:sz w:val="24"/>
          <w:szCs w:val="21"/>
        </w:rPr>
        <w:t>±</w:t>
      </w:r>
      <w:r>
        <w:rPr>
          <w:rFonts w:hint="eastAsia" w:ascii="Times New Roman" w:hAnsi="Times New Roman" w:eastAsia="宋体" w:cs="Times New Roman"/>
          <w:sz w:val="24"/>
          <w:szCs w:val="21"/>
        </w:rPr>
        <w:t>60V；</w:t>
      </w:r>
    </w:p>
    <w:p>
      <w:pPr>
        <w:spacing w:line="360" w:lineRule="auto"/>
        <w:outlineLvl w:val="4"/>
        <w:rPr>
          <w:rFonts w:ascii="Times New Roman" w:hAnsi="Times New Roman" w:eastAsia="宋体" w:cs="Times New Roman"/>
          <w:sz w:val="24"/>
          <w:szCs w:val="24"/>
        </w:rPr>
      </w:pPr>
      <w:bookmarkStart w:id="42" w:name="_Toc36026829"/>
      <w:bookmarkStart w:id="43" w:name="_Toc36027002"/>
      <w:bookmarkStart w:id="44" w:name="_Toc515378932"/>
      <w:r>
        <w:rPr>
          <w:rFonts w:hint="eastAsia" w:ascii="Times New Roman" w:hAnsi="Times New Roman" w:eastAsia="宋体" w:cs="Times New Roman"/>
          <w:sz w:val="24"/>
          <w:szCs w:val="24"/>
        </w:rPr>
        <w:t>3.3.2模拟输出通道</w:t>
      </w:r>
      <w:bookmarkEnd w:id="42"/>
      <w:bookmarkEnd w:id="43"/>
      <w:bookmarkEnd w:id="44"/>
    </w:p>
    <w:p>
      <w:pPr>
        <w:numPr>
          <w:ilvl w:val="0"/>
          <w:numId w:val="1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分辨率：≥</w:t>
      </w:r>
      <w:r>
        <w:rPr>
          <w:rFonts w:ascii="Times New Roman" w:hAnsi="Times New Roman" w:eastAsia="宋体" w:cs="Times New Roman"/>
          <w:sz w:val="24"/>
          <w:szCs w:val="21"/>
        </w:rPr>
        <w:t>1</w:t>
      </w:r>
      <w:r>
        <w:rPr>
          <w:rFonts w:hint="eastAsia" w:ascii="Times New Roman" w:hAnsi="Times New Roman" w:eastAsia="宋体" w:cs="Times New Roman"/>
          <w:sz w:val="24"/>
          <w:szCs w:val="21"/>
        </w:rPr>
        <w:t>6</w:t>
      </w:r>
      <w:r>
        <w:rPr>
          <w:rFonts w:ascii="Times New Roman" w:hAnsi="Times New Roman" w:eastAsia="宋体" w:cs="Times New Roman"/>
          <w:sz w:val="24"/>
          <w:szCs w:val="21"/>
        </w:rPr>
        <w:t>bit</w:t>
      </w:r>
      <w:r>
        <w:rPr>
          <w:rFonts w:hint="eastAsia" w:ascii="Times New Roman" w:hAnsi="Times New Roman" w:eastAsia="宋体" w:cs="Times New Roman"/>
          <w:sz w:val="24"/>
          <w:szCs w:val="21"/>
        </w:rPr>
        <w:t>；</w:t>
      </w:r>
    </w:p>
    <w:p>
      <w:pPr>
        <w:numPr>
          <w:ilvl w:val="0"/>
          <w:numId w:val="1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输出电压范围：0</w:t>
      </w:r>
      <w:r>
        <w:rPr>
          <w:rFonts w:ascii="Times New Roman" w:hAnsi="Times New Roman" w:eastAsia="宋体" w:cs="Times New Roman"/>
          <w:sz w:val="24"/>
          <w:szCs w:val="21"/>
        </w:rPr>
        <w:t>V~+10V</w:t>
      </w:r>
      <w:r>
        <w:rPr>
          <w:rFonts w:hint="eastAsia" w:ascii="Times New Roman" w:hAnsi="Times New Roman" w:eastAsia="宋体" w:cs="Times New Roman"/>
          <w:sz w:val="24"/>
          <w:szCs w:val="21"/>
        </w:rPr>
        <w:t>；</w:t>
      </w:r>
    </w:p>
    <w:p>
      <w:pPr>
        <w:numPr>
          <w:ilvl w:val="0"/>
          <w:numId w:val="1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最大持续电流：≥</w:t>
      </w:r>
      <w:r>
        <w:rPr>
          <w:rFonts w:ascii="Times New Roman" w:hAnsi="Times New Roman" w:eastAsia="宋体" w:cs="Times New Roman"/>
          <w:sz w:val="24"/>
          <w:szCs w:val="21"/>
        </w:rPr>
        <w:t>±</w:t>
      </w:r>
      <w:r>
        <w:rPr>
          <w:rFonts w:hint="eastAsia" w:ascii="Times New Roman" w:hAnsi="Times New Roman" w:eastAsia="宋体" w:cs="Times New Roman"/>
          <w:sz w:val="24"/>
          <w:szCs w:val="21"/>
          <w:lang w:val="en-US" w:eastAsia="zh-CN"/>
        </w:rPr>
        <w:t>8</w:t>
      </w:r>
      <w:r>
        <w:rPr>
          <w:rFonts w:ascii="Times New Roman" w:hAnsi="Times New Roman" w:eastAsia="宋体" w:cs="Times New Roman"/>
          <w:sz w:val="24"/>
          <w:szCs w:val="21"/>
        </w:rPr>
        <w:t>mA</w:t>
      </w:r>
      <w:r>
        <w:rPr>
          <w:rFonts w:hint="eastAsia" w:ascii="Times New Roman" w:hAnsi="Times New Roman" w:eastAsia="宋体" w:cs="Times New Roman"/>
          <w:sz w:val="24"/>
          <w:szCs w:val="21"/>
        </w:rPr>
        <w:t>；</w:t>
      </w:r>
    </w:p>
    <w:p>
      <w:pPr>
        <w:numPr>
          <w:ilvl w:val="0"/>
          <w:numId w:val="17"/>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输出短路保护</w:t>
      </w:r>
      <w:r>
        <w:rPr>
          <w:rFonts w:hint="eastAsia" w:ascii="Times New Roman" w:hAnsi="Times New Roman" w:eastAsia="宋体" w:cs="Times New Roman"/>
          <w:sz w:val="24"/>
          <w:szCs w:val="21"/>
        </w:rPr>
        <w:t>；</w:t>
      </w:r>
    </w:p>
    <w:p>
      <w:pPr>
        <w:numPr>
          <w:ilvl w:val="0"/>
          <w:numId w:val="1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过压保护范围：</w:t>
      </w:r>
      <w:r>
        <w:rPr>
          <w:rFonts w:ascii="Times New Roman" w:hAnsi="Times New Roman" w:eastAsia="宋体" w:cs="Times New Roman"/>
          <w:sz w:val="24"/>
          <w:szCs w:val="21"/>
        </w:rPr>
        <w:t>±</w:t>
      </w:r>
      <w:r>
        <w:rPr>
          <w:rFonts w:hint="eastAsia" w:ascii="Times New Roman" w:hAnsi="Times New Roman" w:eastAsia="宋体" w:cs="Times New Roman"/>
          <w:sz w:val="24"/>
          <w:szCs w:val="21"/>
        </w:rPr>
        <w:t>60V；</w:t>
      </w:r>
    </w:p>
    <w:p>
      <w:pPr>
        <w:numPr>
          <w:ilvl w:val="0"/>
          <w:numId w:val="1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输出最大误差：≤</w:t>
      </w:r>
      <w:r>
        <w:rPr>
          <w:rFonts w:ascii="Times New Roman" w:hAnsi="Times New Roman" w:eastAsia="宋体" w:cs="Times New Roman"/>
          <w:sz w:val="24"/>
          <w:szCs w:val="21"/>
        </w:rPr>
        <w:t>±</w:t>
      </w:r>
      <w:r>
        <w:rPr>
          <w:rFonts w:hint="eastAsia" w:ascii="Times New Roman" w:hAnsi="Times New Roman" w:eastAsia="宋体" w:cs="Times New Roman"/>
          <w:sz w:val="24"/>
          <w:szCs w:val="21"/>
        </w:rPr>
        <w:t>5mV。</w:t>
      </w:r>
    </w:p>
    <w:p>
      <w:pPr>
        <w:spacing w:line="360" w:lineRule="auto"/>
        <w:outlineLvl w:val="4"/>
        <w:rPr>
          <w:rFonts w:ascii="Times New Roman" w:hAnsi="Times New Roman" w:eastAsia="宋体" w:cs="Times New Roman"/>
          <w:sz w:val="24"/>
          <w:szCs w:val="24"/>
        </w:rPr>
      </w:pPr>
      <w:bookmarkStart w:id="45" w:name="_Toc36027003"/>
      <w:bookmarkStart w:id="46" w:name="_Toc36026830"/>
      <w:r>
        <w:rPr>
          <w:rFonts w:hint="eastAsia" w:ascii="Times New Roman" w:hAnsi="Times New Roman" w:eastAsia="宋体" w:cs="Times New Roman"/>
          <w:sz w:val="24"/>
          <w:szCs w:val="24"/>
        </w:rPr>
        <w:t>3.3.3数字/PWM输入通道</w:t>
      </w:r>
      <w:bookmarkEnd w:id="45"/>
      <w:bookmarkEnd w:id="46"/>
    </w:p>
    <w:p>
      <w:pPr>
        <w:numPr>
          <w:ilvl w:val="0"/>
          <w:numId w:val="1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输入电压范围：0V~+60V；</w:t>
      </w:r>
    </w:p>
    <w:p>
      <w:pPr>
        <w:numPr>
          <w:ilvl w:val="0"/>
          <w:numId w:val="1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输入阻抗：≥</w:t>
      </w:r>
      <w:r>
        <w:rPr>
          <w:rFonts w:hint="eastAsia" w:ascii="Times New Roman" w:hAnsi="Times New Roman" w:eastAsia="宋体" w:cs="Times New Roman"/>
          <w:sz w:val="24"/>
          <w:szCs w:val="21"/>
          <w:lang w:val="en-US" w:eastAsia="zh-CN"/>
        </w:rPr>
        <w:t>120k</w:t>
      </w:r>
      <w:r>
        <w:rPr>
          <w:rFonts w:hint="eastAsia" w:ascii="Times New Roman" w:hAnsi="Times New Roman" w:eastAsia="宋体" w:cs="Times New Roman"/>
          <w:sz w:val="24"/>
          <w:szCs w:val="21"/>
        </w:rPr>
        <w:t xml:space="preserve"> Ohm；</w:t>
      </w:r>
    </w:p>
    <w:p>
      <w:pPr>
        <w:numPr>
          <w:ilvl w:val="0"/>
          <w:numId w:val="1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阈值电压：可以通过软件设定，范围覆盖+1~+</w:t>
      </w:r>
      <w:r>
        <w:rPr>
          <w:rFonts w:hint="eastAsia" w:ascii="Times New Roman" w:hAnsi="Times New Roman" w:eastAsia="宋体" w:cs="Times New Roman"/>
          <w:sz w:val="24"/>
          <w:szCs w:val="21"/>
          <w:lang w:val="en-US" w:eastAsia="zh-CN"/>
        </w:rPr>
        <w:t>12</w:t>
      </w:r>
      <w:r>
        <w:rPr>
          <w:rFonts w:hint="eastAsia" w:ascii="Times New Roman" w:hAnsi="Times New Roman" w:eastAsia="宋体" w:cs="Times New Roman"/>
          <w:sz w:val="24"/>
          <w:szCs w:val="21"/>
        </w:rPr>
        <w:t>V；</w:t>
      </w:r>
    </w:p>
    <w:p>
      <w:pPr>
        <w:numPr>
          <w:ilvl w:val="0"/>
          <w:numId w:val="1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每个通道软件上可以配置为数字输入或PWM输入</w:t>
      </w:r>
    </w:p>
    <w:p>
      <w:pPr>
        <w:numPr>
          <w:ilvl w:val="0"/>
          <w:numId w:val="1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频率测量范围：0.5Hz~1</w:t>
      </w:r>
      <w:r>
        <w:rPr>
          <w:rFonts w:ascii="Times New Roman" w:hAnsi="Times New Roman" w:eastAsia="宋体" w:cs="Times New Roman"/>
          <w:sz w:val="24"/>
          <w:szCs w:val="21"/>
        </w:rPr>
        <w:t>00</w:t>
      </w:r>
      <w:r>
        <w:rPr>
          <w:rFonts w:hint="eastAsia" w:ascii="Times New Roman" w:hAnsi="Times New Roman" w:eastAsia="宋体" w:cs="Times New Roman"/>
          <w:sz w:val="24"/>
          <w:szCs w:val="21"/>
        </w:rPr>
        <w:t>kHz；</w:t>
      </w:r>
    </w:p>
    <w:p>
      <w:pPr>
        <w:numPr>
          <w:ilvl w:val="0"/>
          <w:numId w:val="1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过压保护范围：≥</w:t>
      </w:r>
      <w:r>
        <w:rPr>
          <w:rFonts w:ascii="Times New Roman" w:hAnsi="Times New Roman" w:eastAsia="宋体" w:cs="Times New Roman"/>
          <w:sz w:val="24"/>
          <w:szCs w:val="21"/>
        </w:rPr>
        <w:t>±</w:t>
      </w:r>
      <w:r>
        <w:rPr>
          <w:rFonts w:hint="eastAsia" w:ascii="Times New Roman" w:hAnsi="Times New Roman" w:eastAsia="宋体" w:cs="Times New Roman"/>
          <w:sz w:val="24"/>
          <w:szCs w:val="21"/>
        </w:rPr>
        <w:t>60V；</w:t>
      </w:r>
    </w:p>
    <w:p>
      <w:pPr>
        <w:numPr>
          <w:ilvl w:val="0"/>
          <w:numId w:val="18"/>
        </w:numPr>
        <w:spacing w:line="360" w:lineRule="auto"/>
        <w:rPr>
          <w:rFonts w:ascii="Times New Roman" w:hAnsi="Times New Roman" w:eastAsia="宋体" w:cs="Times New Roman"/>
          <w:color w:val="000000"/>
          <w:sz w:val="24"/>
          <w:szCs w:val="21"/>
        </w:rPr>
      </w:pPr>
      <w:r>
        <w:rPr>
          <w:rFonts w:hint="eastAsia" w:ascii="Times New Roman" w:hAnsi="Times New Roman" w:eastAsia="宋体" w:cs="Times New Roman"/>
          <w:sz w:val="24"/>
          <w:szCs w:val="24"/>
        </w:rPr>
        <w:t>0.5Hz~</w:t>
      </w:r>
      <w:r>
        <w:rPr>
          <w:rFonts w:hint="eastAsia" w:ascii="Times New Roman" w:hAnsi="Times New Roman" w:eastAsia="宋体" w:cs="Times New Roman"/>
          <w:color w:val="000000"/>
          <w:sz w:val="24"/>
          <w:szCs w:val="21"/>
        </w:rPr>
        <w:t>100kHz以内，频率测量误差≤</w:t>
      </w:r>
      <w:r>
        <w:rPr>
          <w:rFonts w:ascii="Times New Roman" w:hAnsi="Times New Roman" w:eastAsia="宋体" w:cs="Times New Roman"/>
          <w:color w:val="000000"/>
          <w:sz w:val="24"/>
          <w:szCs w:val="21"/>
        </w:rPr>
        <w:t>±</w:t>
      </w:r>
      <w:r>
        <w:rPr>
          <w:rFonts w:hint="eastAsia" w:ascii="Times New Roman" w:hAnsi="Times New Roman" w:eastAsia="宋体" w:cs="Times New Roman"/>
          <w:color w:val="000000"/>
          <w:sz w:val="24"/>
          <w:szCs w:val="21"/>
        </w:rPr>
        <w:t>0.2%；</w:t>
      </w:r>
    </w:p>
    <w:p>
      <w:pPr>
        <w:numPr>
          <w:ilvl w:val="0"/>
          <w:numId w:val="18"/>
        </w:numPr>
        <w:spacing w:line="360" w:lineRule="auto"/>
        <w:rPr>
          <w:rFonts w:ascii="Times New Roman" w:hAnsi="Times New Roman" w:eastAsia="宋体" w:cs="Times New Roman"/>
          <w:color w:val="000000"/>
          <w:sz w:val="24"/>
          <w:szCs w:val="21"/>
        </w:rPr>
      </w:pPr>
      <w:r>
        <w:rPr>
          <w:rFonts w:hint="eastAsia" w:ascii="Times New Roman" w:hAnsi="Times New Roman" w:eastAsia="宋体" w:cs="Times New Roman"/>
          <w:sz w:val="24"/>
          <w:szCs w:val="24"/>
        </w:rPr>
        <w:t>0.5Hz~</w:t>
      </w:r>
      <w:r>
        <w:rPr>
          <w:rFonts w:hint="eastAsia" w:ascii="Times New Roman" w:hAnsi="Times New Roman" w:eastAsia="宋体" w:cs="Times New Roman"/>
          <w:color w:val="000000"/>
          <w:sz w:val="24"/>
          <w:szCs w:val="21"/>
        </w:rPr>
        <w:t>100kHz以内，</w:t>
      </w:r>
      <w:r>
        <w:rPr>
          <w:rFonts w:ascii="Times New Roman" w:hAnsi="Times New Roman" w:eastAsia="宋体" w:cs="Times New Roman"/>
          <w:color w:val="000000"/>
          <w:sz w:val="24"/>
          <w:szCs w:val="21"/>
        </w:rPr>
        <w:t>1</w:t>
      </w:r>
      <w:r>
        <w:rPr>
          <w:rFonts w:hint="eastAsia" w:ascii="Times New Roman" w:hAnsi="Times New Roman" w:eastAsia="宋体" w:cs="Times New Roman"/>
          <w:color w:val="000000"/>
          <w:sz w:val="24"/>
          <w:szCs w:val="21"/>
        </w:rPr>
        <w:t>%~99%的占空比区间内，占空比绝对误差≤</w:t>
      </w:r>
      <w:r>
        <w:rPr>
          <w:rFonts w:ascii="Times New Roman" w:hAnsi="Times New Roman" w:eastAsia="宋体" w:cs="Times New Roman"/>
          <w:color w:val="000000"/>
          <w:sz w:val="24"/>
          <w:szCs w:val="21"/>
        </w:rPr>
        <w:t>±</w:t>
      </w:r>
      <w:r>
        <w:rPr>
          <w:rFonts w:hint="eastAsia" w:ascii="Times New Roman" w:hAnsi="Times New Roman" w:eastAsia="宋体" w:cs="Times New Roman"/>
          <w:color w:val="000000"/>
          <w:sz w:val="24"/>
          <w:szCs w:val="21"/>
        </w:rPr>
        <w:t>0.1%。</w:t>
      </w:r>
    </w:p>
    <w:p>
      <w:pPr>
        <w:spacing w:line="360" w:lineRule="auto"/>
        <w:outlineLvl w:val="4"/>
        <w:rPr>
          <w:rFonts w:ascii="Times New Roman" w:hAnsi="Times New Roman" w:eastAsia="宋体" w:cs="Times New Roman"/>
          <w:sz w:val="24"/>
          <w:szCs w:val="24"/>
        </w:rPr>
      </w:pPr>
      <w:bookmarkStart w:id="47" w:name="_Toc36027004"/>
      <w:bookmarkStart w:id="48" w:name="_Toc36026831"/>
      <w:bookmarkStart w:id="49" w:name="_Toc515378934"/>
      <w:r>
        <w:rPr>
          <w:rFonts w:hint="eastAsia" w:ascii="Times New Roman" w:hAnsi="Times New Roman" w:eastAsia="宋体" w:cs="Times New Roman"/>
          <w:sz w:val="24"/>
          <w:szCs w:val="24"/>
        </w:rPr>
        <w:t>3.3.4数字/PWM输出通道</w:t>
      </w:r>
      <w:bookmarkEnd w:id="47"/>
      <w:bookmarkEnd w:id="48"/>
      <w:bookmarkEnd w:id="49"/>
    </w:p>
    <w:p>
      <w:pPr>
        <w:numPr>
          <w:ilvl w:val="0"/>
          <w:numId w:val="19"/>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输出可以</w:t>
      </w:r>
      <w:r>
        <w:rPr>
          <w:rFonts w:hint="eastAsia" w:ascii="Times New Roman" w:hAnsi="Times New Roman" w:eastAsia="宋体" w:cs="Times New Roman"/>
          <w:sz w:val="24"/>
          <w:szCs w:val="21"/>
        </w:rPr>
        <w:t>通过软件</w:t>
      </w:r>
      <w:r>
        <w:rPr>
          <w:rFonts w:ascii="Times New Roman" w:hAnsi="Times New Roman" w:eastAsia="宋体" w:cs="Times New Roman"/>
          <w:sz w:val="24"/>
          <w:szCs w:val="21"/>
        </w:rPr>
        <w:t>配置为</w:t>
      </w:r>
      <w:r>
        <w:rPr>
          <w:rFonts w:hint="eastAsia" w:ascii="Times New Roman" w:hAnsi="Times New Roman" w:eastAsia="宋体" w:cs="Times New Roman"/>
          <w:sz w:val="24"/>
          <w:szCs w:val="21"/>
        </w:rPr>
        <w:t>上拉</w:t>
      </w:r>
      <w:r>
        <w:rPr>
          <w:rFonts w:ascii="Times New Roman" w:hAnsi="Times New Roman" w:eastAsia="宋体" w:cs="Times New Roman"/>
          <w:sz w:val="24"/>
          <w:szCs w:val="21"/>
        </w:rPr>
        <w:t>、</w:t>
      </w:r>
      <w:r>
        <w:rPr>
          <w:rFonts w:hint="eastAsia" w:ascii="Times New Roman" w:hAnsi="Times New Roman" w:eastAsia="宋体" w:cs="Times New Roman"/>
          <w:sz w:val="24"/>
          <w:szCs w:val="21"/>
        </w:rPr>
        <w:t>下拉</w:t>
      </w:r>
      <w:r>
        <w:rPr>
          <w:rFonts w:ascii="Times New Roman" w:hAnsi="Times New Roman" w:eastAsia="宋体" w:cs="Times New Roman"/>
          <w:sz w:val="24"/>
          <w:szCs w:val="21"/>
        </w:rPr>
        <w:t>或者</w:t>
      </w:r>
      <w:r>
        <w:rPr>
          <w:rFonts w:hint="eastAsia" w:ascii="Times New Roman" w:hAnsi="Times New Roman" w:eastAsia="宋体" w:cs="Times New Roman"/>
          <w:sz w:val="24"/>
          <w:szCs w:val="21"/>
        </w:rPr>
        <w:t>上拉</w:t>
      </w:r>
      <w:r>
        <w:rPr>
          <w:rFonts w:ascii="Times New Roman" w:hAnsi="Times New Roman" w:eastAsia="宋体" w:cs="Times New Roman"/>
          <w:sz w:val="24"/>
          <w:szCs w:val="21"/>
        </w:rPr>
        <w:t>+</w:t>
      </w:r>
      <w:r>
        <w:rPr>
          <w:rFonts w:hint="eastAsia" w:ascii="Times New Roman" w:hAnsi="Times New Roman" w:eastAsia="宋体" w:cs="Times New Roman"/>
          <w:sz w:val="24"/>
          <w:szCs w:val="21"/>
        </w:rPr>
        <w:t>下拉输出形式；</w:t>
      </w:r>
    </w:p>
    <w:p>
      <w:pPr>
        <w:numPr>
          <w:ilvl w:val="0"/>
          <w:numId w:val="1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每个通道可以有一个外部参考电源，可以通过软件控制在两个</w:t>
      </w:r>
      <w:r>
        <w:rPr>
          <w:rFonts w:ascii="Times New Roman" w:hAnsi="Times New Roman" w:eastAsia="宋体" w:cs="Times New Roman"/>
          <w:sz w:val="24"/>
          <w:szCs w:val="21"/>
        </w:rPr>
        <w:t>外部参考电源</w:t>
      </w:r>
      <w:r>
        <w:rPr>
          <w:rFonts w:hint="eastAsia" w:ascii="Times New Roman" w:hAnsi="Times New Roman" w:eastAsia="宋体" w:cs="Times New Roman"/>
          <w:sz w:val="24"/>
          <w:szCs w:val="21"/>
        </w:rPr>
        <w:t>之间进行选择</w:t>
      </w:r>
      <w:r>
        <w:rPr>
          <w:rFonts w:ascii="Times New Roman" w:hAnsi="Times New Roman" w:eastAsia="宋体" w:cs="Times New Roman"/>
          <w:sz w:val="24"/>
          <w:szCs w:val="21"/>
        </w:rPr>
        <w:t>，</w:t>
      </w:r>
      <w:r>
        <w:rPr>
          <w:rFonts w:hint="eastAsia" w:ascii="Times New Roman" w:hAnsi="Times New Roman" w:eastAsia="宋体" w:cs="Times New Roman"/>
          <w:sz w:val="24"/>
          <w:szCs w:val="21"/>
        </w:rPr>
        <w:t>参考电源</w:t>
      </w:r>
      <w:r>
        <w:rPr>
          <w:rFonts w:ascii="Times New Roman" w:hAnsi="Times New Roman" w:eastAsia="宋体" w:cs="Times New Roman"/>
          <w:sz w:val="24"/>
          <w:szCs w:val="21"/>
        </w:rPr>
        <w:t>电压范围</w:t>
      </w:r>
      <w:r>
        <w:rPr>
          <w:rFonts w:hint="eastAsia" w:ascii="Times New Roman" w:hAnsi="Times New Roman" w:eastAsia="宋体" w:cs="Times New Roman"/>
          <w:sz w:val="24"/>
          <w:szCs w:val="21"/>
          <w:lang w:val="en-US" w:eastAsia="zh-CN"/>
        </w:rPr>
        <w:t>5</w:t>
      </w:r>
      <w:r>
        <w:rPr>
          <w:rFonts w:ascii="Times New Roman" w:hAnsi="Times New Roman" w:eastAsia="宋体" w:cs="Times New Roman"/>
          <w:sz w:val="24"/>
          <w:szCs w:val="21"/>
        </w:rPr>
        <w:t>~60V</w:t>
      </w:r>
      <w:r>
        <w:rPr>
          <w:rFonts w:hint="eastAsia" w:ascii="Times New Roman" w:hAnsi="Times New Roman" w:eastAsia="宋体" w:cs="Times New Roman"/>
          <w:sz w:val="24"/>
          <w:szCs w:val="21"/>
        </w:rPr>
        <w:t>；</w:t>
      </w:r>
    </w:p>
    <w:p>
      <w:pPr>
        <w:numPr>
          <w:ilvl w:val="0"/>
          <w:numId w:val="19"/>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最大持续电流</w:t>
      </w:r>
      <w:r>
        <w:rPr>
          <w:rFonts w:hint="eastAsia" w:ascii="Times New Roman" w:hAnsi="Times New Roman" w:eastAsia="宋体" w:cs="Times New Roman"/>
          <w:sz w:val="24"/>
          <w:szCs w:val="21"/>
        </w:rPr>
        <w:t>：≥3</w:t>
      </w:r>
      <w:r>
        <w:rPr>
          <w:rFonts w:ascii="Times New Roman" w:hAnsi="Times New Roman" w:eastAsia="宋体" w:cs="Times New Roman"/>
          <w:sz w:val="24"/>
          <w:szCs w:val="21"/>
        </w:rPr>
        <w:t>0mA</w:t>
      </w:r>
      <w:r>
        <w:rPr>
          <w:rFonts w:hint="eastAsia" w:ascii="Times New Roman" w:hAnsi="Times New Roman" w:eastAsia="宋体" w:cs="Times New Roman"/>
          <w:sz w:val="24"/>
          <w:szCs w:val="21"/>
        </w:rPr>
        <w:t>；</w:t>
      </w:r>
    </w:p>
    <w:p>
      <w:pPr>
        <w:numPr>
          <w:ilvl w:val="0"/>
          <w:numId w:val="1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每个通道软件上可以配置为数字输出、PWM输出；</w:t>
      </w:r>
    </w:p>
    <w:p>
      <w:pPr>
        <w:numPr>
          <w:ilvl w:val="0"/>
          <w:numId w:val="1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输出频率范围：0.5Hz~1</w:t>
      </w:r>
      <w:r>
        <w:rPr>
          <w:rFonts w:ascii="Times New Roman" w:hAnsi="Times New Roman" w:eastAsia="宋体" w:cs="Times New Roman"/>
          <w:sz w:val="24"/>
          <w:szCs w:val="21"/>
        </w:rPr>
        <w:t>00</w:t>
      </w:r>
      <w:r>
        <w:rPr>
          <w:rFonts w:hint="eastAsia" w:ascii="Times New Roman" w:hAnsi="Times New Roman" w:eastAsia="宋体" w:cs="Times New Roman"/>
          <w:sz w:val="24"/>
          <w:szCs w:val="21"/>
        </w:rPr>
        <w:t>kHz；</w:t>
      </w:r>
    </w:p>
    <w:p>
      <w:pPr>
        <w:numPr>
          <w:ilvl w:val="0"/>
          <w:numId w:val="19"/>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过压保护范围</w:t>
      </w:r>
      <w:r>
        <w:rPr>
          <w:rFonts w:hint="eastAsia" w:ascii="Times New Roman" w:hAnsi="Times New Roman" w:eastAsia="宋体" w:cs="Times New Roman"/>
          <w:sz w:val="24"/>
          <w:szCs w:val="21"/>
        </w:rPr>
        <w:t>：0</w:t>
      </w:r>
      <w:r>
        <w:rPr>
          <w:rFonts w:ascii="Times New Roman" w:hAnsi="Times New Roman" w:eastAsia="宋体" w:cs="Times New Roman"/>
          <w:sz w:val="24"/>
          <w:szCs w:val="21"/>
        </w:rPr>
        <w:t>~</w:t>
      </w:r>
      <w:r>
        <w:rPr>
          <w:rFonts w:hint="eastAsia" w:ascii="Times New Roman" w:hAnsi="Times New Roman" w:eastAsia="宋体" w:cs="Times New Roman"/>
          <w:sz w:val="24"/>
          <w:szCs w:val="21"/>
        </w:rPr>
        <w:t>60V；</w:t>
      </w:r>
    </w:p>
    <w:p>
      <w:pPr>
        <w:numPr>
          <w:ilvl w:val="0"/>
          <w:numId w:val="19"/>
        </w:numPr>
        <w:spacing w:line="360" w:lineRule="auto"/>
        <w:rPr>
          <w:rFonts w:ascii="Times New Roman" w:hAnsi="Times New Roman" w:eastAsia="宋体" w:cs="Times New Roman"/>
          <w:color w:val="000000"/>
          <w:sz w:val="24"/>
          <w:szCs w:val="21"/>
        </w:rPr>
      </w:pPr>
      <w:r>
        <w:rPr>
          <w:rFonts w:hint="eastAsia" w:ascii="Times New Roman" w:hAnsi="Times New Roman" w:eastAsia="宋体" w:cs="Times New Roman"/>
          <w:sz w:val="24"/>
          <w:szCs w:val="24"/>
        </w:rPr>
        <w:t>0.5Hz~</w:t>
      </w:r>
      <w:r>
        <w:rPr>
          <w:rFonts w:hint="eastAsia" w:ascii="Times New Roman" w:hAnsi="Times New Roman" w:eastAsia="宋体" w:cs="Times New Roman"/>
          <w:color w:val="000000"/>
          <w:sz w:val="24"/>
          <w:szCs w:val="21"/>
        </w:rPr>
        <w:t>100kHz以内，输出频率误差≤</w:t>
      </w:r>
      <w:r>
        <w:rPr>
          <w:rFonts w:ascii="Times New Roman" w:hAnsi="Times New Roman" w:eastAsia="宋体" w:cs="Times New Roman"/>
          <w:color w:val="000000"/>
          <w:sz w:val="24"/>
          <w:szCs w:val="21"/>
        </w:rPr>
        <w:t>±</w:t>
      </w:r>
      <w:r>
        <w:rPr>
          <w:rFonts w:hint="eastAsia" w:ascii="Times New Roman" w:hAnsi="Times New Roman" w:eastAsia="宋体" w:cs="Times New Roman"/>
          <w:color w:val="000000"/>
          <w:sz w:val="24"/>
          <w:szCs w:val="21"/>
        </w:rPr>
        <w:t>0.25%；</w:t>
      </w:r>
    </w:p>
    <w:p>
      <w:pPr>
        <w:numPr>
          <w:ilvl w:val="0"/>
          <w:numId w:val="19"/>
        </w:numPr>
        <w:spacing w:line="360" w:lineRule="auto"/>
        <w:rPr>
          <w:rFonts w:ascii="Times New Roman" w:hAnsi="Times New Roman" w:eastAsia="宋体" w:cs="Times New Roman"/>
          <w:color w:val="000000"/>
          <w:sz w:val="24"/>
          <w:szCs w:val="21"/>
        </w:rPr>
      </w:pPr>
      <w:r>
        <w:rPr>
          <w:rFonts w:hint="eastAsia" w:ascii="Times New Roman" w:hAnsi="Times New Roman" w:eastAsia="宋体" w:cs="Times New Roman"/>
          <w:sz w:val="24"/>
          <w:szCs w:val="24"/>
        </w:rPr>
        <w:t>0.5Hz~</w:t>
      </w:r>
      <w:r>
        <w:rPr>
          <w:rFonts w:hint="eastAsia" w:ascii="Times New Roman" w:hAnsi="Times New Roman" w:eastAsia="宋体" w:cs="Times New Roman"/>
          <w:color w:val="000000"/>
          <w:sz w:val="24"/>
          <w:szCs w:val="21"/>
        </w:rPr>
        <w:t>100kHz以内，</w:t>
      </w:r>
      <w:r>
        <w:rPr>
          <w:rFonts w:ascii="Times New Roman" w:hAnsi="Times New Roman" w:eastAsia="宋体" w:cs="Times New Roman"/>
          <w:color w:val="000000"/>
          <w:sz w:val="24"/>
          <w:szCs w:val="21"/>
        </w:rPr>
        <w:t>15</w:t>
      </w:r>
      <w:r>
        <w:rPr>
          <w:rFonts w:hint="eastAsia" w:ascii="Times New Roman" w:hAnsi="Times New Roman" w:eastAsia="宋体" w:cs="Times New Roman"/>
          <w:color w:val="000000"/>
          <w:sz w:val="24"/>
          <w:szCs w:val="21"/>
        </w:rPr>
        <w:t>%~</w:t>
      </w:r>
      <w:r>
        <w:rPr>
          <w:rFonts w:ascii="Times New Roman" w:hAnsi="Times New Roman" w:eastAsia="宋体" w:cs="Times New Roman"/>
          <w:color w:val="000000"/>
          <w:sz w:val="24"/>
          <w:szCs w:val="21"/>
        </w:rPr>
        <w:t>85</w:t>
      </w:r>
      <w:r>
        <w:rPr>
          <w:rFonts w:hint="eastAsia" w:ascii="Times New Roman" w:hAnsi="Times New Roman" w:eastAsia="宋体" w:cs="Times New Roman"/>
          <w:color w:val="000000"/>
          <w:sz w:val="24"/>
          <w:szCs w:val="21"/>
        </w:rPr>
        <w:t>%的占空比区间内，占空比绝对误差≤</w:t>
      </w:r>
      <w:r>
        <w:rPr>
          <w:rFonts w:ascii="Times New Roman" w:hAnsi="Times New Roman" w:eastAsia="宋体" w:cs="Times New Roman"/>
          <w:color w:val="000000"/>
          <w:sz w:val="24"/>
          <w:szCs w:val="21"/>
        </w:rPr>
        <w:t>±</w:t>
      </w:r>
      <w:r>
        <w:rPr>
          <w:rFonts w:hint="eastAsia" w:ascii="Times New Roman" w:hAnsi="Times New Roman" w:eastAsia="宋体" w:cs="Times New Roman"/>
          <w:color w:val="000000"/>
          <w:sz w:val="24"/>
          <w:szCs w:val="21"/>
        </w:rPr>
        <w:t>0.</w:t>
      </w:r>
      <w:r>
        <w:rPr>
          <w:rFonts w:ascii="Times New Roman" w:hAnsi="Times New Roman" w:eastAsia="宋体" w:cs="Times New Roman"/>
          <w:color w:val="000000"/>
          <w:sz w:val="24"/>
          <w:szCs w:val="21"/>
        </w:rPr>
        <w:t>5</w:t>
      </w:r>
      <w:r>
        <w:rPr>
          <w:rFonts w:hint="eastAsia" w:ascii="Times New Roman" w:hAnsi="Times New Roman" w:eastAsia="宋体" w:cs="Times New Roman"/>
          <w:color w:val="000000"/>
          <w:sz w:val="24"/>
          <w:szCs w:val="21"/>
        </w:rPr>
        <w:t>%。</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3.3.5电阻输出通道</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电阻输出范围：5ohm~</w:t>
      </w:r>
      <w:r>
        <w:rPr>
          <w:rFonts w:hint="eastAsia" w:ascii="Times New Roman" w:hAnsi="Times New Roman" w:eastAsia="宋体" w:cs="Times New Roman"/>
          <w:sz w:val="24"/>
          <w:szCs w:val="24"/>
          <w:lang w:val="en-US" w:eastAsia="zh-CN"/>
        </w:rPr>
        <w:t>6</w:t>
      </w:r>
      <w:r>
        <w:rPr>
          <w:rFonts w:hint="eastAsia" w:ascii="Times New Roman" w:hAnsi="Times New Roman" w:eastAsia="宋体" w:cs="Times New Roman"/>
          <w:sz w:val="24"/>
          <w:szCs w:val="24"/>
        </w:rPr>
        <w:t>Mohm，步进1ohm；</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精度：＞20</w:t>
      </w:r>
      <w:r>
        <w:rPr>
          <w:rFonts w:ascii="Times New Roman" w:hAnsi="Times New Roman" w:eastAsia="宋体" w:cs="Times New Roman"/>
          <w:sz w:val="24"/>
          <w:szCs w:val="24"/>
        </w:rPr>
        <w:t>00</w:t>
      </w:r>
      <w:r>
        <w:rPr>
          <w:rFonts w:hint="eastAsia" w:ascii="Times New Roman" w:hAnsi="Times New Roman" w:eastAsia="宋体" w:cs="Times New Roman"/>
          <w:sz w:val="24"/>
          <w:szCs w:val="24"/>
        </w:rPr>
        <w:t>欧姆，输出设定值的0.1%；≤20</w:t>
      </w:r>
      <w:r>
        <w:rPr>
          <w:rFonts w:ascii="Times New Roman" w:hAnsi="Times New Roman" w:eastAsia="宋体" w:cs="Times New Roman"/>
          <w:sz w:val="24"/>
          <w:szCs w:val="24"/>
        </w:rPr>
        <w:t>00</w:t>
      </w:r>
      <w:r>
        <w:rPr>
          <w:rFonts w:hint="eastAsia" w:ascii="Times New Roman" w:hAnsi="Times New Roman" w:eastAsia="宋体" w:cs="Times New Roman"/>
          <w:sz w:val="24"/>
          <w:szCs w:val="24"/>
        </w:rPr>
        <w:t>欧姆，误差≤2Ω</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通道限制电压范围：±30V；</w:t>
      </w:r>
    </w:p>
    <w:p>
      <w:pPr>
        <w:pStyle w:val="129"/>
        <w:numPr>
          <w:ilvl w:val="0"/>
          <w:numId w:val="20"/>
        </w:numPr>
        <w:spacing w:line="360" w:lineRule="auto"/>
        <w:ind w:firstLineChars="0"/>
        <w:rPr>
          <w:rFonts w:ascii="Times New Roman" w:hAnsi="Times New Roman" w:eastAsia="宋体" w:cs="Times New Roman"/>
          <w:sz w:val="24"/>
          <w:szCs w:val="21"/>
        </w:rPr>
      </w:pPr>
      <w:r>
        <w:rPr>
          <w:rFonts w:hint="eastAsia" w:ascii="Times New Roman" w:hAnsi="Times New Roman" w:eastAsia="宋体" w:cs="Times New Roman"/>
          <w:sz w:val="24"/>
          <w:szCs w:val="21"/>
        </w:rPr>
        <w:t>具有过流保护能力，电流保护范围±50mA</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3.3.6轮速仿真板卡技术要求</w:t>
      </w:r>
    </w:p>
    <w:p>
      <w:pPr>
        <w:spacing w:line="360" w:lineRule="auto"/>
        <w:ind w:firstLine="480" w:firstLineChars="200"/>
        <w:rPr>
          <w:rFonts w:ascii="Times New Roman" w:hAnsi="Times New Roman" w:eastAsia="宋体" w:cs="Times New Roman"/>
          <w:sz w:val="24"/>
          <w:szCs w:val="21"/>
        </w:rPr>
      </w:pPr>
      <w:bookmarkStart w:id="50" w:name="_Hlk150874775"/>
      <w:r>
        <w:rPr>
          <w:rFonts w:hint="eastAsia" w:ascii="Times New Roman" w:hAnsi="Times New Roman" w:eastAsia="宋体" w:cs="Times New Roman"/>
          <w:sz w:val="24"/>
          <w:szCs w:val="21"/>
        </w:rPr>
        <w:t>每个通道要求可以通过软件配置输出信号类型，至少支持如下轮速传感器的模拟；</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被动型传感器，正弦波模拟输出信号（型号：“DF6”）；</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主动型传感器，电流接口的数字传感器，2种电流等级（型号：“DF10”）；</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主动型传感器，电流接口的数字传感器，3种电流等级，反向/正向编码（型号：“DF10-RotDir”）；</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主动型传感器，电流接口的数字传感器，2种电流等级及附加信息（ 型号：“DF11i”）；</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主动型传感器，电流接口的数字传感器，3种电流等级及附加信息（型号：“VDA”)；</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要求支持轮速的故障模拟，如电流值超限，缺齿等故障；</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正弦波电压输出范围≥</w:t>
      </w:r>
      <w:r>
        <w:rPr>
          <w:rFonts w:ascii="Times New Roman" w:hAnsi="Times New Roman" w:eastAsia="宋体" w:cs="Times New Roman"/>
          <w:sz w:val="24"/>
          <w:szCs w:val="24"/>
        </w:rPr>
        <w:t>±</w:t>
      </w:r>
      <w:r>
        <w:rPr>
          <w:rFonts w:hint="eastAsia" w:ascii="Times New Roman" w:hAnsi="Times New Roman" w:eastAsia="宋体" w:cs="Times New Roman"/>
          <w:sz w:val="24"/>
          <w:szCs w:val="24"/>
        </w:rPr>
        <w:t>10V，电流范围≥</w:t>
      </w:r>
      <w:r>
        <w:rPr>
          <w:rFonts w:ascii="Times New Roman" w:hAnsi="Times New Roman" w:eastAsia="宋体" w:cs="Times New Roman"/>
          <w:sz w:val="24"/>
          <w:szCs w:val="24"/>
        </w:rPr>
        <w:t>±</w:t>
      </w:r>
      <w:r>
        <w:rPr>
          <w:rFonts w:hint="eastAsia" w:ascii="Times New Roman" w:hAnsi="Times New Roman" w:eastAsia="宋体" w:cs="Times New Roman"/>
          <w:sz w:val="24"/>
          <w:szCs w:val="24"/>
        </w:rPr>
        <w:t>5mA，带过流保护功能；</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要求电流型信号输出范围0~30mA；</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要求支持过压保护，保护范围≥</w:t>
      </w:r>
      <w:r>
        <w:rPr>
          <w:rFonts w:ascii="Times New Roman" w:hAnsi="Times New Roman" w:eastAsia="宋体" w:cs="Times New Roman"/>
          <w:sz w:val="24"/>
          <w:szCs w:val="24"/>
        </w:rPr>
        <w:t>±</w:t>
      </w:r>
      <w:r>
        <w:rPr>
          <w:rFonts w:hint="eastAsia" w:ascii="Times New Roman" w:hAnsi="Times New Roman" w:eastAsia="宋体" w:cs="Times New Roman"/>
          <w:sz w:val="24"/>
          <w:szCs w:val="24"/>
        </w:rPr>
        <w:t>60V。</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3.3.7电流采集板卡技术要求</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支持最大采集电流≥±10A；</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每个通道均带保险丝；</w:t>
      </w:r>
    </w:p>
    <w:p>
      <w:pPr>
        <w:numPr>
          <w:ilvl w:val="0"/>
          <w:numId w:val="20"/>
        </w:numPr>
        <w:spacing w:line="360" w:lineRule="auto"/>
        <w:rPr>
          <w:rFonts w:ascii="Times New Roman" w:hAnsi="Times New Roman" w:eastAsia="宋体" w:cs="Times New Roman"/>
          <w:sz w:val="24"/>
          <w:szCs w:val="24"/>
        </w:rPr>
      </w:pPr>
      <w:r>
        <w:rPr>
          <w:rFonts w:hint="eastAsia" w:ascii="Times New Roman" w:hAnsi="Times New Roman" w:eastAsia="宋体" w:cs="Times New Roman"/>
          <w:sz w:val="24"/>
          <w:szCs w:val="24"/>
        </w:rPr>
        <w:t>电流采集精度≥满量程0.5%+150mA。</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3.3.8 电感型位置传感器</w:t>
      </w:r>
    </w:p>
    <w:p>
      <w:pPr>
        <w:pStyle w:val="2"/>
      </w:pPr>
      <w:r>
        <w:rPr>
          <w:rFonts w:hint="eastAsia"/>
          <w:highlight w:val="yellow"/>
        </w:rPr>
        <w:t>需要模拟以下不同的电感特性：</w:t>
      </w:r>
    </w:p>
    <w:p>
      <w:pPr>
        <w:pStyle w:val="2"/>
      </w:pPr>
      <w:r>
        <w:rPr>
          <w:rFonts w:hint="eastAsia" w:ascii="宋体" w:hAnsi="宋体" w:cs="宋体"/>
          <w:sz w:val="24"/>
          <w:szCs w:val="24"/>
        </w:rPr>
        <w:drawing>
          <wp:inline distT="0" distB="0" distL="114300" distR="114300">
            <wp:extent cx="3070860" cy="715010"/>
            <wp:effectExtent l="0" t="0" r="15240" b="8890"/>
            <wp:docPr id="1418361931" name="图片 1418361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361931" name="图片 1418361931"/>
                    <pic:cNvPicPr>
                      <a:picLocks noChangeAspect="1"/>
                    </pic:cNvPicPr>
                  </pic:nvPicPr>
                  <pic:blipFill>
                    <a:blip r:embed="rId44"/>
                    <a:stretch>
                      <a:fillRect/>
                    </a:stretch>
                  </pic:blipFill>
                  <pic:spPr>
                    <a:xfrm>
                      <a:off x="0" y="0"/>
                      <a:ext cx="3070860" cy="715010"/>
                    </a:xfrm>
                    <a:prstGeom prst="rect">
                      <a:avLst/>
                    </a:prstGeom>
                    <a:noFill/>
                    <a:ln>
                      <a:noFill/>
                    </a:ln>
                  </pic:spPr>
                </pic:pic>
              </a:graphicData>
            </a:graphic>
          </wp:inline>
        </w:drawing>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3.3.9 磁电型霍尔传感器</w:t>
      </w:r>
    </w:p>
    <w:p>
      <w:pPr>
        <w:pStyle w:val="2"/>
      </w:pPr>
      <w:r>
        <w:rPr>
          <w:rFonts w:hint="eastAsia"/>
        </w:rPr>
        <w:t>支持方波信号输出，幅值和频率信号可调：</w:t>
      </w:r>
    </w:p>
    <w:p>
      <w:pPr>
        <w:pStyle w:val="2"/>
        <w:numPr>
          <w:ilvl w:val="0"/>
          <w:numId w:val="21"/>
        </w:numPr>
      </w:pPr>
      <w:r>
        <w:rPr>
          <w:rFonts w:hint="eastAsia"/>
        </w:rPr>
        <w:t>幅值：±15V；</w:t>
      </w:r>
    </w:p>
    <w:p>
      <w:pPr>
        <w:pStyle w:val="2"/>
        <w:numPr>
          <w:ilvl w:val="0"/>
          <w:numId w:val="21"/>
        </w:numPr>
      </w:pPr>
      <w:r>
        <w:rPr>
          <w:rFonts w:hint="eastAsia"/>
        </w:rPr>
        <w:t>输出频率范围：0.001Hz-100KHz；</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3.3.10 霍尔电流型传感器</w:t>
      </w:r>
    </w:p>
    <w:p>
      <w:pPr>
        <w:pStyle w:val="2"/>
      </w:pPr>
      <w:r>
        <w:rPr>
          <w:rFonts w:hint="eastAsia"/>
        </w:rPr>
        <w:t>可以根据设定的参数输出对应的PWM波，并且波形的电流大小可设定，并支持底边驱动和高边驱动的切换，具体参数如下：</w:t>
      </w:r>
    </w:p>
    <w:p>
      <w:pPr>
        <w:pStyle w:val="2"/>
        <w:numPr>
          <w:ilvl w:val="0"/>
          <w:numId w:val="22"/>
        </w:numPr>
      </w:pPr>
      <w:r>
        <w:rPr>
          <w:rFonts w:hint="eastAsia"/>
        </w:rPr>
        <w:t>输出频率：0.02Hz-1Mhz；</w:t>
      </w:r>
    </w:p>
    <w:p>
      <w:pPr>
        <w:pStyle w:val="2"/>
        <w:numPr>
          <w:ilvl w:val="0"/>
          <w:numId w:val="22"/>
        </w:numPr>
      </w:pPr>
      <w:r>
        <w:rPr>
          <w:rFonts w:hint="eastAsia"/>
        </w:rPr>
        <w:t>电流幅值：-150mA-150mA;</w:t>
      </w:r>
    </w:p>
    <w:bookmarkEnd w:id="50"/>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3.5总线通讯板卡技术要求</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3.5.1CAN/CANFD通道技术要求</w:t>
      </w:r>
    </w:p>
    <w:p>
      <w:pPr>
        <w:numPr>
          <w:ilvl w:val="0"/>
          <w:numId w:val="2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w:t>
      </w:r>
      <w:r>
        <w:rPr>
          <w:rFonts w:ascii="Times New Roman" w:hAnsi="Times New Roman" w:eastAsia="宋体" w:cs="Times New Roman"/>
          <w:sz w:val="24"/>
          <w:szCs w:val="21"/>
        </w:rPr>
        <w:t>CAN2.0A</w:t>
      </w:r>
      <w:r>
        <w:rPr>
          <w:rFonts w:hint="eastAsia" w:ascii="Times New Roman" w:hAnsi="Times New Roman" w:eastAsia="宋体" w:cs="Times New Roman"/>
          <w:sz w:val="24"/>
          <w:szCs w:val="21"/>
        </w:rPr>
        <w:t>、</w:t>
      </w:r>
      <w:r>
        <w:rPr>
          <w:rFonts w:ascii="Times New Roman" w:hAnsi="Times New Roman" w:eastAsia="宋体" w:cs="Times New Roman"/>
          <w:sz w:val="24"/>
          <w:szCs w:val="21"/>
        </w:rPr>
        <w:t>CAN2.0B</w:t>
      </w:r>
      <w:r>
        <w:rPr>
          <w:rFonts w:hint="eastAsia" w:ascii="Times New Roman" w:hAnsi="Times New Roman" w:eastAsia="宋体" w:cs="Times New Roman"/>
          <w:sz w:val="24"/>
          <w:szCs w:val="21"/>
        </w:rPr>
        <w:t>以及CANFD；</w:t>
      </w:r>
    </w:p>
    <w:p>
      <w:pPr>
        <w:numPr>
          <w:ilvl w:val="0"/>
          <w:numId w:val="2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波特率：≥4</w:t>
      </w:r>
      <w:r>
        <w:rPr>
          <w:rFonts w:ascii="Times New Roman" w:hAnsi="Times New Roman" w:eastAsia="宋体" w:cs="Times New Roman"/>
          <w:sz w:val="24"/>
          <w:szCs w:val="21"/>
        </w:rPr>
        <w:t>Mbps</w:t>
      </w:r>
      <w:r>
        <w:rPr>
          <w:rFonts w:hint="eastAsia" w:ascii="Times New Roman" w:hAnsi="Times New Roman" w:eastAsia="宋体" w:cs="Times New Roman"/>
          <w:sz w:val="24"/>
          <w:szCs w:val="21"/>
        </w:rPr>
        <w:t>，可配置；</w:t>
      </w:r>
    </w:p>
    <w:p>
      <w:pPr>
        <w:numPr>
          <w:ilvl w:val="0"/>
          <w:numId w:val="2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w:t>
      </w:r>
      <w:r>
        <w:rPr>
          <w:rFonts w:ascii="Times New Roman" w:hAnsi="Times New Roman" w:eastAsia="宋体" w:cs="Times New Roman"/>
          <w:sz w:val="24"/>
          <w:szCs w:val="21"/>
        </w:rPr>
        <w:t>.dbc</w:t>
      </w:r>
      <w:r>
        <w:rPr>
          <w:rFonts w:hint="eastAsia" w:ascii="Times New Roman" w:hAnsi="Times New Roman" w:eastAsia="宋体" w:cs="Times New Roman"/>
          <w:sz w:val="24"/>
          <w:szCs w:val="21"/>
        </w:rPr>
        <w:t>数据库文件的导入；</w:t>
      </w:r>
    </w:p>
    <w:p>
      <w:pPr>
        <w:numPr>
          <w:ilvl w:val="0"/>
          <w:numId w:val="2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可配置终端电阻。</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3.5.2 LIN通道技术要求</w:t>
      </w:r>
    </w:p>
    <w:p>
      <w:pPr>
        <w:numPr>
          <w:ilvl w:val="0"/>
          <w:numId w:val="24"/>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w:t>
      </w:r>
      <w:r>
        <w:rPr>
          <w:rFonts w:ascii="Times New Roman" w:hAnsi="Times New Roman" w:eastAsia="宋体" w:cs="Times New Roman"/>
          <w:sz w:val="24"/>
          <w:szCs w:val="21"/>
        </w:rPr>
        <w:t>LIN1.3</w:t>
      </w:r>
      <w:r>
        <w:rPr>
          <w:rFonts w:hint="eastAsia" w:ascii="Times New Roman" w:hAnsi="Times New Roman" w:eastAsia="宋体" w:cs="Times New Roman"/>
          <w:sz w:val="24"/>
          <w:szCs w:val="21"/>
        </w:rPr>
        <w:t>、</w:t>
      </w:r>
      <w:r>
        <w:rPr>
          <w:rFonts w:ascii="Times New Roman" w:hAnsi="Times New Roman" w:eastAsia="宋体" w:cs="Times New Roman"/>
          <w:sz w:val="24"/>
          <w:szCs w:val="21"/>
        </w:rPr>
        <w:t>2.0</w:t>
      </w:r>
      <w:r>
        <w:rPr>
          <w:rFonts w:hint="eastAsia" w:ascii="Times New Roman" w:hAnsi="Times New Roman" w:eastAsia="宋体" w:cs="Times New Roman"/>
          <w:sz w:val="24"/>
          <w:szCs w:val="21"/>
        </w:rPr>
        <w:t>、</w:t>
      </w:r>
      <w:r>
        <w:rPr>
          <w:rFonts w:ascii="Times New Roman" w:hAnsi="Times New Roman" w:eastAsia="宋体" w:cs="Times New Roman"/>
          <w:sz w:val="24"/>
          <w:szCs w:val="21"/>
        </w:rPr>
        <w:t>2.1标准协议</w:t>
      </w:r>
      <w:r>
        <w:rPr>
          <w:rFonts w:hint="eastAsia" w:ascii="Times New Roman" w:hAnsi="Times New Roman" w:eastAsia="宋体" w:cs="Times New Roman"/>
          <w:sz w:val="24"/>
          <w:szCs w:val="21"/>
        </w:rPr>
        <w:t>；</w:t>
      </w:r>
    </w:p>
    <w:p>
      <w:pPr>
        <w:numPr>
          <w:ilvl w:val="0"/>
          <w:numId w:val="24"/>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波特率</w:t>
      </w:r>
      <w:r>
        <w:rPr>
          <w:rFonts w:ascii="Times New Roman" w:hAnsi="Times New Roman" w:eastAsia="宋体" w:cs="Times New Roman"/>
          <w:sz w:val="24"/>
          <w:szCs w:val="21"/>
        </w:rPr>
        <w:t xml:space="preserve"> ≥20kbit/s</w:t>
      </w:r>
      <w:r>
        <w:rPr>
          <w:rFonts w:hint="eastAsia" w:ascii="Times New Roman" w:hAnsi="Times New Roman" w:eastAsia="宋体" w:cs="Times New Roman"/>
          <w:sz w:val="24"/>
          <w:szCs w:val="21"/>
        </w:rPr>
        <w:t>，</w:t>
      </w:r>
      <w:r>
        <w:rPr>
          <w:rFonts w:ascii="Times New Roman" w:hAnsi="Times New Roman" w:eastAsia="宋体" w:cs="Times New Roman"/>
          <w:sz w:val="24"/>
          <w:szCs w:val="21"/>
        </w:rPr>
        <w:t>可软件配置</w:t>
      </w:r>
      <w:r>
        <w:rPr>
          <w:rFonts w:hint="eastAsia" w:ascii="Times New Roman" w:hAnsi="Times New Roman" w:eastAsia="宋体" w:cs="Times New Roman"/>
          <w:sz w:val="24"/>
          <w:szCs w:val="21"/>
        </w:rPr>
        <w:t>；</w:t>
      </w:r>
    </w:p>
    <w:p>
      <w:pPr>
        <w:numPr>
          <w:ilvl w:val="0"/>
          <w:numId w:val="24"/>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支持.ldf数据库文件的导入</w:t>
      </w:r>
      <w:r>
        <w:rPr>
          <w:rFonts w:hint="eastAsia" w:ascii="Times New Roman" w:hAnsi="Times New Roman" w:eastAsia="宋体" w:cs="Times New Roman"/>
          <w:sz w:val="24"/>
          <w:szCs w:val="21"/>
        </w:rPr>
        <w:t>；</w:t>
      </w:r>
    </w:p>
    <w:p>
      <w:pPr>
        <w:numPr>
          <w:ilvl w:val="0"/>
          <w:numId w:val="24"/>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支持主从模式。</w:t>
      </w:r>
    </w:p>
    <w:p>
      <w:pPr>
        <w:spacing w:line="360" w:lineRule="auto"/>
        <w:outlineLvl w:val="3"/>
        <w:rPr>
          <w:rFonts w:ascii="Times New Roman" w:hAnsi="Times New Roman" w:eastAsia="宋体" w:cs="Times New Roman"/>
          <w:b/>
          <w:bCs/>
          <w:sz w:val="24"/>
          <w:szCs w:val="24"/>
        </w:rPr>
      </w:pPr>
      <w:bookmarkStart w:id="51" w:name="_Toc36027014"/>
      <w:r>
        <w:rPr>
          <w:rFonts w:hint="eastAsia" w:ascii="Times New Roman" w:hAnsi="Times New Roman" w:eastAsia="宋体" w:cs="Times New Roman"/>
          <w:b/>
          <w:bCs/>
          <w:sz w:val="24"/>
          <w:szCs w:val="24"/>
        </w:rPr>
        <w:t>3.6 ECU供电</w:t>
      </w:r>
      <w:bookmarkEnd w:id="51"/>
      <w:r>
        <w:rPr>
          <w:rFonts w:hint="eastAsia" w:ascii="Times New Roman" w:hAnsi="Times New Roman" w:eastAsia="宋体" w:cs="Times New Roman"/>
          <w:b/>
          <w:bCs/>
          <w:sz w:val="24"/>
          <w:szCs w:val="24"/>
        </w:rPr>
        <w:t>技术要求</w:t>
      </w:r>
    </w:p>
    <w:p>
      <w:pPr>
        <w:spacing w:line="360" w:lineRule="auto"/>
        <w:outlineLvl w:val="4"/>
        <w:rPr>
          <w:rFonts w:ascii="Times New Roman" w:hAnsi="Times New Roman" w:eastAsia="宋体" w:cs="Times New Roman"/>
          <w:sz w:val="24"/>
          <w:szCs w:val="24"/>
        </w:rPr>
      </w:pPr>
      <w:bookmarkStart w:id="52" w:name="_Hlk80452978"/>
      <w:bookmarkStart w:id="53" w:name="_Toc36027019"/>
      <w:bookmarkStart w:id="54" w:name="_Toc485309591"/>
      <w:bookmarkStart w:id="55" w:name="_Toc529835863"/>
      <w:bookmarkStart w:id="56" w:name="_Toc497603326"/>
      <w:r>
        <w:rPr>
          <w:rFonts w:hint="eastAsia" w:ascii="Times New Roman" w:hAnsi="Times New Roman" w:eastAsia="宋体" w:cs="Times New Roman"/>
          <w:sz w:val="24"/>
          <w:szCs w:val="24"/>
        </w:rPr>
        <w:t>3.6.1低压可编程电源1技术要求</w:t>
      </w:r>
    </w:p>
    <w:p>
      <w:pPr>
        <w:numPr>
          <w:ilvl w:val="0"/>
          <w:numId w:val="2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数量：5</w:t>
      </w:r>
    </w:p>
    <w:p>
      <w:pPr>
        <w:numPr>
          <w:ilvl w:val="0"/>
          <w:numId w:val="25"/>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功率范围：≥</w:t>
      </w:r>
      <w:r>
        <w:rPr>
          <w:rFonts w:hint="eastAsia" w:ascii="Times New Roman" w:hAnsi="Times New Roman" w:eastAsia="宋体" w:cs="Times New Roman"/>
          <w:sz w:val="24"/>
          <w:szCs w:val="21"/>
        </w:rPr>
        <w:t>12</w:t>
      </w:r>
      <w:r>
        <w:rPr>
          <w:rFonts w:ascii="Times New Roman" w:hAnsi="Times New Roman" w:eastAsia="宋体" w:cs="Times New Roman"/>
          <w:sz w:val="24"/>
          <w:szCs w:val="21"/>
        </w:rPr>
        <w:t>00W；</w:t>
      </w:r>
    </w:p>
    <w:p>
      <w:pPr>
        <w:numPr>
          <w:ilvl w:val="0"/>
          <w:numId w:val="25"/>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输出电压范围：≥</w:t>
      </w:r>
      <w:r>
        <w:rPr>
          <w:rFonts w:hint="eastAsia" w:ascii="Times New Roman" w:hAnsi="Times New Roman" w:eastAsia="宋体" w:cs="Times New Roman"/>
          <w:sz w:val="24"/>
          <w:szCs w:val="21"/>
        </w:rPr>
        <w:t>8</w:t>
      </w:r>
      <w:r>
        <w:rPr>
          <w:rFonts w:ascii="Times New Roman" w:hAnsi="Times New Roman" w:eastAsia="宋体" w:cs="Times New Roman"/>
          <w:sz w:val="24"/>
          <w:szCs w:val="21"/>
        </w:rPr>
        <w:t>0V；</w:t>
      </w:r>
    </w:p>
    <w:p>
      <w:pPr>
        <w:numPr>
          <w:ilvl w:val="0"/>
          <w:numId w:val="25"/>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输出电流范围：≥</w:t>
      </w:r>
      <w:r>
        <w:rPr>
          <w:rFonts w:hint="eastAsia" w:ascii="Times New Roman" w:hAnsi="Times New Roman" w:eastAsia="宋体" w:cs="Times New Roman"/>
          <w:sz w:val="24"/>
          <w:szCs w:val="21"/>
        </w:rPr>
        <w:t>6</w:t>
      </w:r>
      <w:r>
        <w:rPr>
          <w:rFonts w:ascii="Times New Roman" w:hAnsi="Times New Roman" w:eastAsia="宋体" w:cs="Times New Roman"/>
          <w:sz w:val="24"/>
          <w:szCs w:val="21"/>
        </w:rPr>
        <w:t>0A；</w:t>
      </w:r>
    </w:p>
    <w:p>
      <w:pPr>
        <w:numPr>
          <w:ilvl w:val="0"/>
          <w:numId w:val="2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接口：</w:t>
      </w:r>
      <w:r>
        <w:rPr>
          <w:rFonts w:ascii="Times New Roman" w:hAnsi="Times New Roman" w:eastAsia="宋体" w:cs="Times New Roman"/>
          <w:sz w:val="24"/>
          <w:szCs w:val="21"/>
        </w:rPr>
        <w:t>USB/RS232/CAN/LAN</w:t>
      </w:r>
      <w:r>
        <w:rPr>
          <w:rFonts w:hint="eastAsia" w:ascii="Times New Roman" w:hAnsi="Times New Roman" w:eastAsia="宋体" w:cs="Times New Roman"/>
          <w:sz w:val="24"/>
          <w:szCs w:val="21"/>
        </w:rPr>
        <w:t>，</w:t>
      </w:r>
      <w:r>
        <w:rPr>
          <w:rFonts w:ascii="Times New Roman" w:hAnsi="Times New Roman" w:eastAsia="宋体" w:cs="Times New Roman"/>
          <w:sz w:val="24"/>
          <w:szCs w:val="21"/>
        </w:rPr>
        <w:t>可由上位机软件控制电源输出；</w:t>
      </w:r>
    </w:p>
    <w:p>
      <w:pPr>
        <w:numPr>
          <w:ilvl w:val="0"/>
          <w:numId w:val="2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精度：</w:t>
      </w:r>
      <w:r>
        <w:rPr>
          <w:rFonts w:ascii="Times New Roman" w:hAnsi="Times New Roman" w:eastAsia="宋体" w:cs="Times New Roman"/>
          <w:sz w:val="24"/>
          <w:szCs w:val="21"/>
        </w:rPr>
        <w:t>≤0.0</w:t>
      </w:r>
      <w:r>
        <w:rPr>
          <w:rFonts w:hint="eastAsia" w:ascii="Times New Roman" w:hAnsi="Times New Roman" w:eastAsia="宋体" w:cs="Times New Roman"/>
          <w:sz w:val="24"/>
          <w:szCs w:val="21"/>
        </w:rPr>
        <w:t>2</w:t>
      </w:r>
      <w:r>
        <w:rPr>
          <w:rFonts w:ascii="Times New Roman" w:hAnsi="Times New Roman" w:eastAsia="宋体" w:cs="Times New Roman"/>
          <w:sz w:val="24"/>
          <w:szCs w:val="21"/>
        </w:rPr>
        <w:t>%+30mV ≤0.</w:t>
      </w:r>
      <w:r>
        <w:rPr>
          <w:rFonts w:hint="eastAsia" w:ascii="Times New Roman" w:hAnsi="Times New Roman" w:eastAsia="宋体" w:cs="Times New Roman"/>
          <w:sz w:val="24"/>
          <w:szCs w:val="21"/>
        </w:rPr>
        <w:t>1</w:t>
      </w:r>
      <w:r>
        <w:rPr>
          <w:rFonts w:ascii="Times New Roman" w:hAnsi="Times New Roman" w:eastAsia="宋体" w:cs="Times New Roman"/>
          <w:sz w:val="24"/>
          <w:szCs w:val="21"/>
        </w:rPr>
        <w:t>%+</w:t>
      </w:r>
      <w:r>
        <w:rPr>
          <w:rFonts w:ascii="Arial" w:hAnsi="Arial" w:cs="Arial"/>
          <w:color w:val="333333"/>
          <w:sz w:val="18"/>
          <w:szCs w:val="18"/>
          <w:shd w:val="clear" w:color="auto" w:fill="EFEFEF"/>
        </w:rPr>
        <w:t xml:space="preserve"> </w:t>
      </w:r>
      <w:r>
        <w:rPr>
          <w:rFonts w:ascii="Times New Roman" w:hAnsi="Times New Roman" w:eastAsia="宋体" w:cs="Times New Roman"/>
          <w:sz w:val="24"/>
          <w:szCs w:val="21"/>
        </w:rPr>
        <w:t>0.1%FS</w:t>
      </w:r>
      <w:r>
        <w:rPr>
          <w:rFonts w:hint="eastAsia" w:ascii="Times New Roman" w:hAnsi="Times New Roman" w:eastAsia="宋体" w:cs="Times New Roman"/>
          <w:sz w:val="24"/>
          <w:szCs w:val="21"/>
        </w:rPr>
        <w:t>；</w:t>
      </w:r>
    </w:p>
    <w:p>
      <w:pPr>
        <w:numPr>
          <w:ilvl w:val="0"/>
          <w:numId w:val="2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支持各种模式（CV/CC/CP），边沿独立设定，上升和下降时间可调；</w:t>
      </w:r>
    </w:p>
    <w:p>
      <w:pPr>
        <w:numPr>
          <w:ilvl w:val="0"/>
          <w:numId w:val="25"/>
        </w:numPr>
        <w:spacing w:line="360" w:lineRule="auto"/>
      </w:pPr>
      <w:r>
        <w:rPr>
          <w:rFonts w:ascii="Times New Roman" w:hAnsi="Times New Roman" w:eastAsia="宋体" w:cs="Times New Roman"/>
          <w:sz w:val="24"/>
          <w:szCs w:val="21"/>
        </w:rPr>
        <w:t>具备自我保护功能。</w:t>
      </w:r>
    </w:p>
    <w:bookmarkEnd w:id="52"/>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3.6.2 低压可编程电源2技术要求</w:t>
      </w:r>
      <w:bookmarkEnd w:id="53"/>
    </w:p>
    <w:p>
      <w:pPr>
        <w:numPr>
          <w:ilvl w:val="0"/>
          <w:numId w:val="2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数量：1</w:t>
      </w:r>
    </w:p>
    <w:p>
      <w:pPr>
        <w:numPr>
          <w:ilvl w:val="0"/>
          <w:numId w:val="25"/>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功率范围：≥</w:t>
      </w:r>
      <w:r>
        <w:rPr>
          <w:rFonts w:hint="eastAsia" w:ascii="Times New Roman" w:hAnsi="Times New Roman" w:eastAsia="宋体" w:cs="Times New Roman"/>
          <w:sz w:val="24"/>
          <w:szCs w:val="21"/>
          <w:lang w:val="en-US" w:eastAsia="zh-CN"/>
        </w:rPr>
        <w:t>25</w:t>
      </w:r>
      <w:r>
        <w:rPr>
          <w:rFonts w:ascii="Times New Roman" w:hAnsi="Times New Roman" w:eastAsia="宋体" w:cs="Times New Roman"/>
          <w:sz w:val="24"/>
          <w:szCs w:val="21"/>
        </w:rPr>
        <w:t>00W；</w:t>
      </w:r>
    </w:p>
    <w:p>
      <w:pPr>
        <w:numPr>
          <w:ilvl w:val="0"/>
          <w:numId w:val="25"/>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输出电压范围：≥</w:t>
      </w:r>
      <w:r>
        <w:rPr>
          <w:rFonts w:hint="eastAsia" w:ascii="Times New Roman" w:hAnsi="Times New Roman" w:eastAsia="宋体" w:cs="Times New Roman"/>
          <w:sz w:val="24"/>
          <w:szCs w:val="21"/>
        </w:rPr>
        <w:t>8</w:t>
      </w:r>
      <w:r>
        <w:rPr>
          <w:rFonts w:ascii="Times New Roman" w:hAnsi="Times New Roman" w:eastAsia="宋体" w:cs="Times New Roman"/>
          <w:sz w:val="24"/>
          <w:szCs w:val="21"/>
        </w:rPr>
        <w:t>0V；</w:t>
      </w:r>
    </w:p>
    <w:p>
      <w:pPr>
        <w:numPr>
          <w:ilvl w:val="0"/>
          <w:numId w:val="25"/>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输出电流范围：</w:t>
      </w:r>
      <w:r>
        <w:rPr>
          <w:rFonts w:hint="eastAsia" w:ascii="Times New Roman" w:hAnsi="Times New Roman" w:eastAsia="宋体" w:cs="Times New Roman"/>
          <w:sz w:val="24"/>
          <w:szCs w:val="21"/>
        </w:rPr>
        <w:t>±8</w:t>
      </w:r>
      <w:r>
        <w:rPr>
          <w:rFonts w:ascii="Times New Roman" w:hAnsi="Times New Roman" w:eastAsia="宋体" w:cs="Times New Roman"/>
          <w:sz w:val="24"/>
          <w:szCs w:val="21"/>
        </w:rPr>
        <w:t>0A；</w:t>
      </w:r>
    </w:p>
    <w:p>
      <w:pPr>
        <w:numPr>
          <w:ilvl w:val="0"/>
          <w:numId w:val="2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接口：</w:t>
      </w:r>
      <w:r>
        <w:rPr>
          <w:rFonts w:ascii="Times New Roman" w:hAnsi="Times New Roman" w:eastAsia="宋体" w:cs="Times New Roman"/>
          <w:sz w:val="24"/>
          <w:szCs w:val="21"/>
        </w:rPr>
        <w:t>USB/CAN/LAN/数字I/O口</w:t>
      </w:r>
      <w:r>
        <w:rPr>
          <w:rFonts w:hint="eastAsia" w:ascii="Times New Roman" w:hAnsi="Times New Roman" w:eastAsia="宋体" w:cs="Times New Roman"/>
          <w:sz w:val="24"/>
          <w:szCs w:val="21"/>
        </w:rPr>
        <w:t>，</w:t>
      </w:r>
      <w:r>
        <w:rPr>
          <w:rFonts w:ascii="Times New Roman" w:hAnsi="Times New Roman" w:eastAsia="宋体" w:cs="Times New Roman"/>
          <w:sz w:val="24"/>
          <w:szCs w:val="21"/>
        </w:rPr>
        <w:t>可由上位机软件控制电源输出；</w:t>
      </w:r>
    </w:p>
    <w:p>
      <w:pPr>
        <w:numPr>
          <w:ilvl w:val="0"/>
          <w:numId w:val="2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分辨率：</w:t>
      </w:r>
      <w:r>
        <w:rPr>
          <w:rFonts w:ascii="Times New Roman" w:hAnsi="Times New Roman" w:eastAsia="宋体" w:cs="Times New Roman"/>
          <w:sz w:val="24"/>
          <w:szCs w:val="21"/>
        </w:rPr>
        <w:t>1mV/10mA</w:t>
      </w:r>
      <w:r>
        <w:rPr>
          <w:rFonts w:hint="eastAsia" w:ascii="Times New Roman" w:hAnsi="Times New Roman" w:eastAsia="宋体" w:cs="Times New Roman"/>
          <w:sz w:val="24"/>
          <w:szCs w:val="21"/>
        </w:rPr>
        <w:t>；</w:t>
      </w:r>
    </w:p>
    <w:p>
      <w:pPr>
        <w:numPr>
          <w:ilvl w:val="0"/>
          <w:numId w:val="2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精度：</w:t>
      </w:r>
      <w:r>
        <w:rPr>
          <w:rFonts w:ascii="Times New Roman" w:hAnsi="Times New Roman" w:eastAsia="宋体" w:cs="Times New Roman"/>
          <w:sz w:val="24"/>
          <w:szCs w:val="21"/>
        </w:rPr>
        <w:t>≤0.03% + 0.03%FS / ≤0.1% + 0.1%FS</w:t>
      </w:r>
      <w:r>
        <w:rPr>
          <w:rFonts w:hint="eastAsia" w:ascii="Times New Roman" w:hAnsi="Times New Roman" w:eastAsia="宋体" w:cs="Times New Roman"/>
          <w:sz w:val="24"/>
          <w:szCs w:val="21"/>
        </w:rPr>
        <w:t>；</w:t>
      </w:r>
    </w:p>
    <w:p>
      <w:pPr>
        <w:numPr>
          <w:ilvl w:val="0"/>
          <w:numId w:val="25"/>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支持各种模式（CV/CC/CP），边沿独立设定，上升和下降时间可调；</w:t>
      </w:r>
    </w:p>
    <w:p>
      <w:pPr>
        <w:numPr>
          <w:ilvl w:val="0"/>
          <w:numId w:val="25"/>
        </w:numPr>
        <w:spacing w:line="360" w:lineRule="auto"/>
      </w:pPr>
      <w:r>
        <w:rPr>
          <w:rFonts w:ascii="Times New Roman" w:hAnsi="Times New Roman" w:eastAsia="宋体" w:cs="Times New Roman"/>
          <w:sz w:val="24"/>
          <w:szCs w:val="21"/>
        </w:rPr>
        <w:t>具备自我保护功能。</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3.6.3 供电管理板卡</w:t>
      </w:r>
    </w:p>
    <w:p>
      <w:pPr>
        <w:numPr>
          <w:ilvl w:val="0"/>
          <w:numId w:val="2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可以模拟如KL30、KL15等ECU所需的供电；</w:t>
      </w:r>
    </w:p>
    <w:p>
      <w:pPr>
        <w:numPr>
          <w:ilvl w:val="0"/>
          <w:numId w:val="2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支持双电压输入，输出电压可以在两个输入电压之间选择；</w:t>
      </w:r>
    </w:p>
    <w:p>
      <w:pPr>
        <w:numPr>
          <w:ilvl w:val="0"/>
          <w:numId w:val="2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提供至少3个大电流开关输出通道，允许持续电流30A；</w:t>
      </w:r>
    </w:p>
    <w:bookmarkEnd w:id="54"/>
    <w:bookmarkEnd w:id="55"/>
    <w:bookmarkEnd w:id="56"/>
    <w:p>
      <w:pPr>
        <w:spacing w:line="360" w:lineRule="auto"/>
        <w:outlineLvl w:val="3"/>
        <w:rPr>
          <w:rFonts w:ascii="Times New Roman" w:hAnsi="Times New Roman" w:eastAsia="宋体" w:cs="Times New Roman"/>
          <w:b/>
          <w:bCs/>
          <w:sz w:val="24"/>
          <w:szCs w:val="24"/>
        </w:rPr>
      </w:pPr>
      <w:bookmarkStart w:id="57" w:name="_Toc36027020"/>
      <w:r>
        <w:rPr>
          <w:rFonts w:hint="eastAsia" w:ascii="Times New Roman" w:hAnsi="Times New Roman" w:eastAsia="宋体" w:cs="Times New Roman"/>
          <w:b/>
          <w:bCs/>
          <w:sz w:val="24"/>
          <w:szCs w:val="24"/>
        </w:rPr>
        <w:t>3.6故障注入技术要求</w:t>
      </w:r>
      <w:bookmarkEnd w:id="57"/>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3.6.1通用故障注入技术要求</w:t>
      </w:r>
    </w:p>
    <w:p>
      <w:pPr>
        <w:numPr>
          <w:ilvl w:val="0"/>
          <w:numId w:val="27"/>
        </w:numPr>
        <w:spacing w:line="36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支持最大持续电流：</w:t>
      </w:r>
      <w:r>
        <w:rPr>
          <w:rFonts w:hint="eastAsia" w:ascii="Times New Roman" w:hAnsi="Times New Roman" w:eastAsia="宋体" w:cs="Times New Roman"/>
          <w:sz w:val="24"/>
          <w:szCs w:val="21"/>
          <w:lang w:val="en-US" w:eastAsia="zh-CN"/>
        </w:rPr>
        <w:t>8</w:t>
      </w:r>
      <w:r>
        <w:rPr>
          <w:rFonts w:ascii="Times New Roman" w:hAnsi="Times New Roman" w:eastAsia="宋体" w:cs="Times New Roman"/>
          <w:sz w:val="24"/>
          <w:szCs w:val="21"/>
        </w:rPr>
        <w:t>A</w:t>
      </w:r>
      <w:r>
        <w:rPr>
          <w:rFonts w:hint="eastAsia" w:ascii="Times New Roman" w:hAnsi="Times New Roman" w:eastAsia="宋体" w:cs="Times New Roman"/>
          <w:sz w:val="24"/>
          <w:szCs w:val="21"/>
        </w:rPr>
        <w:t>/</w:t>
      </w:r>
      <w:r>
        <w:rPr>
          <w:rFonts w:ascii="Times New Roman" w:hAnsi="Times New Roman" w:eastAsia="宋体" w:cs="Times New Roman"/>
          <w:sz w:val="24"/>
          <w:szCs w:val="21"/>
        </w:rPr>
        <w:t>30V</w:t>
      </w:r>
      <w:r>
        <w:rPr>
          <w:rFonts w:hint="eastAsia" w:ascii="Times New Roman" w:hAnsi="Times New Roman" w:eastAsia="宋体" w:cs="Times New Roman"/>
          <w:sz w:val="24"/>
          <w:szCs w:val="21"/>
        </w:rPr>
        <w:t>。</w:t>
      </w:r>
    </w:p>
    <w:p>
      <w:pPr>
        <w:numPr>
          <w:ilvl w:val="0"/>
          <w:numId w:val="27"/>
        </w:numPr>
        <w:spacing w:line="36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可以实现的故障类型包括：</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①对电源短路；</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②对地短路；</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③开路；</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④除开路外，其它故障形式可以选择是否带负载。</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3.7主机柜技术要求</w:t>
      </w:r>
    </w:p>
    <w:p>
      <w:pPr>
        <w:numPr>
          <w:ilvl w:val="0"/>
          <w:numId w:val="2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 xml:space="preserve">标准19英寸机柜，高度14U； </w:t>
      </w:r>
    </w:p>
    <w:p>
      <w:pPr>
        <w:numPr>
          <w:ilvl w:val="0"/>
          <w:numId w:val="2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 xml:space="preserve">机柜面板布置规矩，横平竖直； </w:t>
      </w:r>
    </w:p>
    <w:p>
      <w:pPr>
        <w:numPr>
          <w:ilvl w:val="0"/>
          <w:numId w:val="2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 xml:space="preserve">机柜内走线规整、符合相关电气接线法规要求； </w:t>
      </w:r>
    </w:p>
    <w:p>
      <w:pPr>
        <w:numPr>
          <w:ilvl w:val="0"/>
          <w:numId w:val="2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 xml:space="preserve">机柜底必须配置牢固灵活的滚轮并可锁止； </w:t>
      </w:r>
    </w:p>
    <w:p>
      <w:pPr>
        <w:numPr>
          <w:ilvl w:val="0"/>
          <w:numId w:val="27"/>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 xml:space="preserve">机柜配备 PDU 单元，实现对设备的交流电源进行控制、分配、保护等功能。机柜PDU 中要求包含急停开关，急停开关要求有单机工作和联机工作两种工作模式； </w:t>
      </w:r>
    </w:p>
    <w:p>
      <w:pPr>
        <w:numPr>
          <w:ilvl w:val="0"/>
          <w:numId w:val="27"/>
        </w:numPr>
        <w:spacing w:line="360" w:lineRule="auto"/>
      </w:pPr>
      <w:r>
        <w:rPr>
          <w:rFonts w:hint="eastAsia" w:ascii="Times New Roman" w:hAnsi="Times New Roman" w:eastAsia="宋体" w:cs="Times New Roman"/>
          <w:sz w:val="24"/>
          <w:szCs w:val="21"/>
        </w:rPr>
        <w:t>根据环境温度，需考虑机柜的散热性； 机柜绝缘等级需满足Ⅲ类设备绝缘。</w:t>
      </w:r>
    </w:p>
    <w:p>
      <w:pPr>
        <w:spacing w:line="360" w:lineRule="auto"/>
        <w:outlineLvl w:val="3"/>
        <w:rPr>
          <w:rFonts w:ascii="Times New Roman" w:hAnsi="Times New Roman" w:eastAsia="宋体" w:cs="Times New Roman"/>
          <w:b/>
          <w:bCs/>
          <w:sz w:val="24"/>
          <w:szCs w:val="24"/>
        </w:rPr>
      </w:pPr>
      <w:bookmarkStart w:id="58" w:name="_Toc36027024"/>
      <w:r>
        <w:rPr>
          <w:rFonts w:hint="eastAsia" w:ascii="Times New Roman" w:hAnsi="Times New Roman" w:eastAsia="宋体" w:cs="Times New Roman"/>
          <w:b/>
          <w:bCs/>
          <w:sz w:val="24"/>
          <w:szCs w:val="24"/>
        </w:rPr>
        <w:t>3.8设备接插件及工具要求</w:t>
      </w:r>
      <w:bookmarkEnd w:id="58"/>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每个接插件</w:t>
      </w:r>
      <w:r>
        <w:rPr>
          <w:rFonts w:ascii="Times New Roman" w:hAnsi="Times New Roman" w:eastAsia="宋体" w:cs="Times New Roman"/>
          <w:sz w:val="24"/>
          <w:szCs w:val="21"/>
        </w:rPr>
        <w:t>90PIN</w:t>
      </w:r>
      <w:r>
        <w:rPr>
          <w:rFonts w:hint="eastAsia" w:ascii="Times New Roman" w:hAnsi="Times New Roman" w:eastAsia="宋体" w:cs="Times New Roman"/>
          <w:sz w:val="24"/>
          <w:szCs w:val="21"/>
        </w:rPr>
        <w:t>，最大持续电流≥</w:t>
      </w:r>
      <w:r>
        <w:rPr>
          <w:rFonts w:ascii="Times New Roman" w:hAnsi="Times New Roman" w:eastAsia="宋体" w:cs="Times New Roman"/>
          <w:sz w:val="24"/>
          <w:szCs w:val="21"/>
        </w:rPr>
        <w:t>8A</w:t>
      </w:r>
      <w:r>
        <w:rPr>
          <w:rFonts w:hint="eastAsia" w:ascii="Times New Roman" w:hAnsi="Times New Roman" w:eastAsia="宋体" w:cs="Times New Roman"/>
          <w:sz w:val="24"/>
          <w:szCs w:val="21"/>
        </w:rPr>
        <w:t>；</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接触电阻≤</w:t>
      </w:r>
      <w:r>
        <w:rPr>
          <w:rFonts w:ascii="Times New Roman" w:hAnsi="Times New Roman" w:eastAsia="宋体" w:cs="Times New Roman"/>
          <w:sz w:val="24"/>
          <w:szCs w:val="21"/>
        </w:rPr>
        <w:t>10</w:t>
      </w:r>
      <w:r>
        <w:rPr>
          <w:rFonts w:hint="eastAsia" w:ascii="Times New Roman" w:hAnsi="Times New Roman" w:eastAsia="宋体" w:cs="Times New Roman"/>
          <w:sz w:val="24"/>
          <w:szCs w:val="21"/>
        </w:rPr>
        <w:t>毫欧；</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插拔次数≥</w:t>
      </w:r>
      <w:r>
        <w:rPr>
          <w:rFonts w:ascii="Times New Roman" w:hAnsi="Times New Roman" w:eastAsia="宋体" w:cs="Times New Roman"/>
          <w:sz w:val="24"/>
          <w:szCs w:val="21"/>
        </w:rPr>
        <w:t>5000</w:t>
      </w:r>
      <w:r>
        <w:rPr>
          <w:rFonts w:hint="eastAsia" w:ascii="Times New Roman" w:hAnsi="Times New Roman" w:eastAsia="宋体" w:cs="Times New Roman"/>
          <w:sz w:val="24"/>
          <w:szCs w:val="21"/>
        </w:rPr>
        <w:t>次（寿命</w:t>
      </w:r>
      <w:r>
        <w:rPr>
          <w:rFonts w:ascii="Times New Roman" w:hAnsi="Times New Roman" w:eastAsia="宋体" w:cs="Times New Roman"/>
          <w:sz w:val="24"/>
          <w:szCs w:val="21"/>
        </w:rPr>
        <w:t>5000</w:t>
      </w:r>
      <w:r>
        <w:rPr>
          <w:rFonts w:hint="eastAsia" w:ascii="Times New Roman" w:hAnsi="Times New Roman" w:eastAsia="宋体" w:cs="Times New Roman"/>
          <w:sz w:val="24"/>
          <w:szCs w:val="21"/>
        </w:rPr>
        <w:t>次的概念指的是</w:t>
      </w:r>
      <w:r>
        <w:rPr>
          <w:rFonts w:ascii="Times New Roman" w:hAnsi="Times New Roman" w:eastAsia="宋体" w:cs="Times New Roman"/>
          <w:sz w:val="24"/>
          <w:szCs w:val="21"/>
        </w:rPr>
        <w:t>5000</w:t>
      </w:r>
      <w:r>
        <w:rPr>
          <w:rFonts w:hint="eastAsia" w:ascii="Times New Roman" w:hAnsi="Times New Roman" w:eastAsia="宋体" w:cs="Times New Roman"/>
          <w:sz w:val="24"/>
          <w:szCs w:val="21"/>
        </w:rPr>
        <w:t>次以后接触电阻不能超过初始接触电阻的</w:t>
      </w:r>
      <w:r>
        <w:rPr>
          <w:rFonts w:ascii="Times New Roman" w:hAnsi="Times New Roman" w:eastAsia="宋体" w:cs="Times New Roman"/>
          <w:sz w:val="24"/>
          <w:szCs w:val="21"/>
        </w:rPr>
        <w:t>3</w:t>
      </w:r>
      <w:r>
        <w:rPr>
          <w:rFonts w:hint="eastAsia" w:ascii="Times New Roman" w:hAnsi="Times New Roman" w:eastAsia="宋体" w:cs="Times New Roman"/>
          <w:sz w:val="24"/>
          <w:szCs w:val="21"/>
        </w:rPr>
        <w:t>倍）；</w:t>
      </w:r>
    </w:p>
    <w:p>
      <w:pPr>
        <w:numPr>
          <w:ilvl w:val="0"/>
          <w:numId w:val="28"/>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需提供相关连接器参数能力证明材料</w:t>
      </w:r>
      <w:r>
        <w:rPr>
          <w:rFonts w:hint="eastAsia" w:ascii="Times New Roman" w:hAnsi="Times New Roman" w:eastAsia="宋体" w:cs="Times New Roman"/>
          <w:sz w:val="24"/>
          <w:szCs w:val="21"/>
        </w:rPr>
        <w:t>；</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接插件数量应满足项目实际使用需求；</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每个台架需提供两套机柜对接端线束接插件，方便后期扩展；</w:t>
      </w:r>
    </w:p>
    <w:p>
      <w:pPr>
        <w:numPr>
          <w:ilvl w:val="0"/>
          <w:numId w:val="28"/>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需配置与连接器配套的专用压针与</w:t>
      </w:r>
      <w:r>
        <w:rPr>
          <w:rFonts w:hint="eastAsia" w:ascii="Times New Roman" w:hAnsi="Times New Roman" w:eastAsia="宋体" w:cs="Times New Roman"/>
          <w:sz w:val="24"/>
          <w:szCs w:val="21"/>
        </w:rPr>
        <w:t>退针</w:t>
      </w:r>
      <w:r>
        <w:rPr>
          <w:rFonts w:ascii="Times New Roman" w:hAnsi="Times New Roman" w:eastAsia="宋体" w:cs="Times New Roman"/>
          <w:sz w:val="24"/>
          <w:szCs w:val="21"/>
        </w:rPr>
        <w:t>工具一套。</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3.9电机对拧台架要求</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3.9.1 负载电机要求</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额定扭矩≥</w:t>
      </w:r>
      <w:r>
        <w:rPr>
          <w:rFonts w:ascii="Times New Roman" w:hAnsi="Times New Roman" w:eastAsia="宋体" w:cs="Times New Roman"/>
          <w:sz w:val="24"/>
          <w:szCs w:val="21"/>
        </w:rPr>
        <w:t>8Nm</w:t>
      </w:r>
      <w:r>
        <w:rPr>
          <w:rFonts w:hint="eastAsia" w:ascii="Times New Roman" w:hAnsi="Times New Roman" w:eastAsia="宋体" w:cs="Times New Roman"/>
          <w:sz w:val="24"/>
          <w:szCs w:val="21"/>
        </w:rPr>
        <w:t>；</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最大扭矩≥1</w:t>
      </w:r>
      <w:r>
        <w:rPr>
          <w:rFonts w:ascii="Times New Roman" w:hAnsi="Times New Roman" w:eastAsia="宋体" w:cs="Times New Roman"/>
          <w:sz w:val="24"/>
          <w:szCs w:val="21"/>
        </w:rPr>
        <w:t>0Nm</w:t>
      </w:r>
      <w:r>
        <w:rPr>
          <w:rFonts w:hint="eastAsia" w:ascii="Times New Roman" w:hAnsi="Times New Roman" w:eastAsia="宋体" w:cs="Times New Roman"/>
          <w:sz w:val="24"/>
          <w:szCs w:val="21"/>
        </w:rPr>
        <w:t>；</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额定转速≥</w:t>
      </w:r>
      <w:r>
        <w:rPr>
          <w:rFonts w:ascii="Times New Roman" w:hAnsi="Times New Roman" w:eastAsia="宋体" w:cs="Times New Roman"/>
          <w:sz w:val="24"/>
          <w:szCs w:val="21"/>
        </w:rPr>
        <w:t>3000rpm</w:t>
      </w:r>
      <w:r>
        <w:rPr>
          <w:rFonts w:hint="eastAsia" w:ascii="Times New Roman" w:hAnsi="Times New Roman" w:eastAsia="宋体" w:cs="Times New Roman"/>
          <w:sz w:val="24"/>
          <w:szCs w:val="21"/>
        </w:rPr>
        <w:t>；</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支持扭矩控制和转角控制；</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支持CANopen、</w:t>
      </w:r>
      <w:r>
        <w:rPr>
          <w:rFonts w:ascii="Times New Roman" w:hAnsi="Times New Roman" w:eastAsia="宋体" w:cs="Times New Roman"/>
          <w:sz w:val="24"/>
          <w:szCs w:val="21"/>
        </w:rPr>
        <w:t>ethercat</w:t>
      </w:r>
      <w:r>
        <w:rPr>
          <w:rFonts w:hint="eastAsia" w:ascii="Times New Roman" w:hAnsi="Times New Roman" w:eastAsia="宋体" w:cs="Times New Roman"/>
          <w:sz w:val="24"/>
          <w:szCs w:val="21"/>
        </w:rPr>
        <w:t>协议；</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支持位置输出。</w:t>
      </w:r>
    </w:p>
    <w:p>
      <w:pPr>
        <w:spacing w:line="360" w:lineRule="auto"/>
        <w:outlineLvl w:val="4"/>
        <w:rPr>
          <w:rFonts w:ascii="Times New Roman" w:hAnsi="Times New Roman" w:eastAsia="宋体" w:cs="Times New Roman"/>
          <w:sz w:val="24"/>
          <w:szCs w:val="24"/>
        </w:rPr>
      </w:pPr>
      <w:r>
        <w:rPr>
          <w:rFonts w:hint="eastAsia" w:ascii="Times New Roman" w:hAnsi="Times New Roman" w:eastAsia="宋体" w:cs="Times New Roman"/>
          <w:sz w:val="24"/>
          <w:szCs w:val="24"/>
        </w:rPr>
        <w:t>3.9.2 扭矩传感器要求</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最大扭矩≥</w:t>
      </w:r>
      <w:r>
        <w:rPr>
          <w:rFonts w:ascii="Times New Roman" w:hAnsi="Times New Roman" w:eastAsia="宋体" w:cs="Times New Roman"/>
          <w:sz w:val="24"/>
          <w:szCs w:val="21"/>
        </w:rPr>
        <w:t>10Nm</w:t>
      </w:r>
    </w:p>
    <w:p>
      <w:pPr>
        <w:numPr>
          <w:ilvl w:val="0"/>
          <w:numId w:val="28"/>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最大转速≥</w:t>
      </w:r>
      <w:r>
        <w:rPr>
          <w:rFonts w:ascii="Times New Roman" w:hAnsi="Times New Roman" w:eastAsia="宋体" w:cs="Times New Roman"/>
          <w:sz w:val="24"/>
          <w:szCs w:val="21"/>
        </w:rPr>
        <w:t>3000rpm</w:t>
      </w:r>
    </w:p>
    <w:p>
      <w:pPr>
        <w:numPr>
          <w:ilvl w:val="0"/>
          <w:numId w:val="28"/>
        </w:numPr>
        <w:spacing w:line="360" w:lineRule="auto"/>
      </w:pPr>
      <w:r>
        <w:rPr>
          <w:rFonts w:hint="eastAsia" w:ascii="Times New Roman" w:hAnsi="Times New Roman" w:eastAsia="宋体" w:cs="Times New Roman"/>
          <w:sz w:val="24"/>
          <w:szCs w:val="21"/>
        </w:rPr>
        <w:t>精度≥ 0</w:t>
      </w:r>
      <w:r>
        <w:rPr>
          <w:rFonts w:ascii="Times New Roman" w:hAnsi="Times New Roman" w:eastAsia="宋体" w:cs="Times New Roman"/>
          <w:sz w:val="24"/>
          <w:szCs w:val="21"/>
        </w:rPr>
        <w:t>.1%</w:t>
      </w:r>
    </w:p>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 软件平台技术要求</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4.1试验管理软件要求</w:t>
      </w:r>
    </w:p>
    <w:p>
      <w:pPr>
        <w:numPr>
          <w:ilvl w:val="2"/>
          <w:numId w:val="0"/>
        </w:numPr>
        <w:tabs>
          <w:tab w:val="left" w:pos="624"/>
        </w:tabs>
        <w:spacing w:line="360" w:lineRule="auto"/>
        <w:outlineLvl w:val="4"/>
        <w:rPr>
          <w:rFonts w:ascii="Times New Roman" w:hAnsi="Times New Roman" w:eastAsia="宋体" w:cs="Times New Roman"/>
          <w:sz w:val="24"/>
          <w:szCs w:val="21"/>
        </w:rPr>
      </w:pPr>
      <w:r>
        <w:rPr>
          <w:rFonts w:hint="eastAsia" w:ascii="Times New Roman" w:hAnsi="Times New Roman" w:eastAsia="宋体" w:cs="Times New Roman"/>
          <w:sz w:val="24"/>
          <w:szCs w:val="21"/>
        </w:rPr>
        <w:t>4.1.1工程配置要求</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支持管理实时仿真机中所有硬件板卡的配置和接口集成；</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支持CAN、CANFD、LIN、车载以太网总线报文数据库文件的导入及管理；</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网络模型可以支持：FastDDS、LDF、Socket-Client、Socket-Server、CAN Codec，SOME/IP等；</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支持基于</w:t>
      </w:r>
      <w:r>
        <w:rPr>
          <w:rFonts w:ascii="Times New Roman" w:hAnsi="Times New Roman" w:eastAsia="宋体" w:cs="Times New Roman"/>
          <w:sz w:val="24"/>
          <w:szCs w:val="21"/>
        </w:rPr>
        <w:t>UDP</w:t>
      </w:r>
      <w:r>
        <w:rPr>
          <w:rFonts w:hint="eastAsia" w:ascii="Times New Roman" w:hAnsi="Times New Roman" w:eastAsia="宋体" w:cs="Times New Roman"/>
          <w:sz w:val="24"/>
          <w:szCs w:val="21"/>
        </w:rPr>
        <w:t>、</w:t>
      </w:r>
      <w:r>
        <w:rPr>
          <w:rFonts w:ascii="Times New Roman" w:hAnsi="Times New Roman" w:eastAsia="宋体" w:cs="Times New Roman"/>
          <w:sz w:val="24"/>
          <w:szCs w:val="21"/>
        </w:rPr>
        <w:t>TCP</w:t>
      </w:r>
      <w:r>
        <w:rPr>
          <w:rFonts w:hint="eastAsia" w:ascii="Times New Roman" w:hAnsi="Times New Roman" w:eastAsia="宋体" w:cs="Times New Roman"/>
          <w:sz w:val="24"/>
          <w:szCs w:val="21"/>
        </w:rPr>
        <w:t>与SOME/IP</w:t>
      </w:r>
      <w:r>
        <w:rPr>
          <w:rFonts w:ascii="Times New Roman" w:hAnsi="Times New Roman" w:eastAsia="宋体" w:cs="Times New Roman"/>
          <w:sz w:val="24"/>
          <w:szCs w:val="21"/>
        </w:rPr>
        <w:t>协议的标准以太网通信</w:t>
      </w:r>
      <w:r>
        <w:rPr>
          <w:rFonts w:hint="eastAsia" w:ascii="Times New Roman" w:hAnsi="Times New Roman" w:eastAsia="宋体" w:cs="Times New Roman"/>
          <w:sz w:val="24"/>
          <w:szCs w:val="21"/>
        </w:rPr>
        <w:t>；</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支持导入CAN报文的LiveCounter和Checksum的算法文件；</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支持simulink模型、FMU模型文件的导入及管理，支持集成多个模型，并可手动将多个模型分配到不同CPU核上运行；</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支持模型信号与硬件通道、总线报文信号的映射配置；</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提供模型文件、总线数据库文件的替换功能，无需先删除再导入；</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★在重新导入或替换模型和总线数据库文件后，映射关系可以自动恢复，无需再手动添加；</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★支持手动选定多个变量进行批量映射操作；</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支持模型参数修改和保存，根据不同待测车型，管理、设定相应参数；</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支持实时记录数据，支持*.mat 、*.csv 等文件格式；</w:t>
      </w:r>
    </w:p>
    <w:p>
      <w:pPr>
        <w:numPr>
          <w:ilvl w:val="2"/>
          <w:numId w:val="0"/>
        </w:numPr>
        <w:tabs>
          <w:tab w:val="left" w:pos="624"/>
        </w:tabs>
        <w:spacing w:line="360" w:lineRule="auto"/>
        <w:outlineLvl w:val="4"/>
        <w:rPr>
          <w:rFonts w:ascii="Times New Roman" w:hAnsi="Times New Roman" w:eastAsia="宋体" w:cs="Times New Roman"/>
          <w:sz w:val="24"/>
          <w:szCs w:val="21"/>
        </w:rPr>
      </w:pPr>
      <w:r>
        <w:rPr>
          <w:rFonts w:hint="eastAsia" w:ascii="Times New Roman" w:hAnsi="Times New Roman" w:eastAsia="宋体" w:cs="Times New Roman"/>
          <w:sz w:val="24"/>
          <w:szCs w:val="21"/>
        </w:rPr>
        <w:t>4.1.2监控界面要求</w:t>
      </w:r>
    </w:p>
    <w:p>
      <w:pPr>
        <w:numPr>
          <w:ilvl w:val="0"/>
          <w:numId w:val="30"/>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支持模型变量、硬件通道信号、总线信号的在线监控以及模型参数的在线调参。</w:t>
      </w:r>
    </w:p>
    <w:p>
      <w:pPr>
        <w:numPr>
          <w:ilvl w:val="0"/>
          <w:numId w:val="30"/>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提供丰富的常用控件库，应包括：</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①数值控制、数值显示、滑动条、旋钮、进度条、状态灯、指针仪表；</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②单选框、复选框、下拉选择开关类控件；</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③拨动开关、复位按钮等档位类控件；</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④多变量同步显示控件，支持1维、2维信号的同步显示；</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⑤汽车仪表盘、制动踏板、油门踏板等常用汽车控件；</w:t>
      </w:r>
    </w:p>
    <w:p>
      <w:pPr>
        <w:spacing w:line="360" w:lineRule="auto"/>
        <w:ind w:left="420" w:leftChars="200"/>
        <w:rPr>
          <w:rFonts w:ascii="Times New Roman" w:hAnsi="Times New Roman" w:eastAsia="宋体" w:cs="Times New Roman"/>
          <w:sz w:val="24"/>
          <w:szCs w:val="21"/>
        </w:rPr>
      </w:pPr>
      <w:r>
        <w:rPr>
          <w:rFonts w:hint="eastAsia" w:ascii="Times New Roman" w:hAnsi="Times New Roman" w:eastAsia="宋体" w:cs="Times New Roman"/>
          <w:sz w:val="24"/>
          <w:szCs w:val="21"/>
        </w:rPr>
        <w:t>⑥实时波形图显示控件。</w:t>
      </w:r>
    </w:p>
    <w:p>
      <w:pPr>
        <w:numPr>
          <w:ilvl w:val="0"/>
          <w:numId w:val="30"/>
        </w:numPr>
        <w:spacing w:line="36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提供监控数据的实时保存和数据曲线回放功能，数据回放界面应支持以下功能。</w:t>
      </w:r>
    </w:p>
    <w:p>
      <w:pPr>
        <w:spacing w:line="36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①支持多波形图模式，每个波形图可以配置多个信号；</w:t>
      </w:r>
    </w:p>
    <w:p>
      <w:pPr>
        <w:spacing w:line="36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②单个波形图支持多Y轴模式；</w:t>
      </w:r>
    </w:p>
    <w:p>
      <w:pPr>
        <w:spacing w:line="36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kern w:val="0"/>
          <w:sz w:val="24"/>
          <w:szCs w:val="21"/>
        </w:rPr>
        <w:t>③可在图形上添加标尺线，可以观察某个时间点的信号值或者两个时间点之间的信号差值；</w:t>
      </w:r>
    </w:p>
    <w:p>
      <w:pPr>
        <w:spacing w:line="36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kern w:val="0"/>
          <w:sz w:val="24"/>
          <w:szCs w:val="21"/>
        </w:rPr>
        <w:t>④可以支持放大、缩小等操作。</w:t>
      </w:r>
    </w:p>
    <w:p>
      <w:pPr>
        <w:numPr>
          <w:ilvl w:val="0"/>
          <w:numId w:val="30"/>
        </w:numPr>
        <w:spacing w:line="36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提供控件是否关联变量的检测功能，未关联变量的控件提供适当的提示。</w:t>
      </w:r>
    </w:p>
    <w:p>
      <w:pPr>
        <w:numPr>
          <w:ilvl w:val="0"/>
          <w:numId w:val="30"/>
        </w:numPr>
        <w:spacing w:line="36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控件与模型变量的关联关系在模型重新导入后可以自动恢复，不需要重新进行关联。</w:t>
      </w:r>
    </w:p>
    <w:p>
      <w:pPr>
        <w:numPr>
          <w:ilvl w:val="0"/>
          <w:numId w:val="30"/>
        </w:numPr>
        <w:spacing w:line="36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支持一键定位控件的关联变量。</w:t>
      </w:r>
    </w:p>
    <w:p>
      <w:pPr>
        <w:numPr>
          <w:ilvl w:val="0"/>
          <w:numId w:val="30"/>
        </w:numPr>
        <w:spacing w:line="36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支持提供运行时数值超限报警。</w:t>
      </w:r>
    </w:p>
    <w:p>
      <w:pPr>
        <w:numPr>
          <w:ilvl w:val="0"/>
          <w:numId w:val="30"/>
        </w:numPr>
        <w:spacing w:line="36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支持布局编辑功能，例如等距排布、对齐、控件组合等功能。</w:t>
      </w:r>
    </w:p>
    <w:p>
      <w:pPr>
        <w:numPr>
          <w:ilvl w:val="0"/>
          <w:numId w:val="30"/>
        </w:numPr>
        <w:spacing w:line="36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提供装饰器控件增强布局美化效果，至少包含文本背景、图片背景、背景颜色渐变等效果。</w:t>
      </w:r>
    </w:p>
    <w:p>
      <w:pPr>
        <w:numPr>
          <w:ilvl w:val="2"/>
          <w:numId w:val="0"/>
        </w:numPr>
        <w:tabs>
          <w:tab w:val="left" w:pos="624"/>
        </w:tabs>
        <w:spacing w:line="360" w:lineRule="auto"/>
        <w:outlineLvl w:val="4"/>
        <w:rPr>
          <w:rFonts w:ascii="Times New Roman" w:hAnsi="Times New Roman" w:eastAsia="宋体" w:cs="Times New Roman"/>
          <w:sz w:val="24"/>
          <w:szCs w:val="21"/>
        </w:rPr>
      </w:pPr>
      <w:r>
        <w:rPr>
          <w:rFonts w:hint="eastAsia" w:ascii="Times New Roman" w:hAnsi="Times New Roman" w:eastAsia="宋体" w:cs="Times New Roman"/>
          <w:sz w:val="24"/>
          <w:szCs w:val="21"/>
        </w:rPr>
        <w:t>4.1.3 标定与测量</w:t>
      </w:r>
    </w:p>
    <w:p>
      <w:pPr>
        <w:numPr>
          <w:ilvl w:val="0"/>
          <w:numId w:val="30"/>
        </w:numPr>
        <w:spacing w:line="360" w:lineRule="auto"/>
        <w:ind w:left="0" w:firstLine="480" w:firstLineChars="200"/>
        <w:rPr>
          <w:rFonts w:ascii="Times New Roman" w:hAnsi="Times New Roman" w:eastAsia="宋体" w:cs="Times New Roman"/>
          <w:sz w:val="24"/>
          <w:szCs w:val="21"/>
        </w:rPr>
      </w:pPr>
      <w:r>
        <w:rPr>
          <w:rFonts w:ascii="Times New Roman" w:hAnsi="Times New Roman" w:eastAsia="宋体" w:cs="Times New Roman"/>
          <w:sz w:val="24"/>
          <w:szCs w:val="21"/>
        </w:rPr>
        <w:t>支持 CCP on CAN / CANFD</w:t>
      </w:r>
    </w:p>
    <w:p>
      <w:pPr>
        <w:numPr>
          <w:ilvl w:val="0"/>
          <w:numId w:val="30"/>
        </w:numPr>
        <w:spacing w:line="360" w:lineRule="auto"/>
        <w:ind w:left="0" w:firstLine="480" w:firstLineChars="200"/>
        <w:rPr>
          <w:rFonts w:ascii="Times New Roman" w:hAnsi="Times New Roman" w:eastAsia="宋体" w:cs="Times New Roman"/>
          <w:sz w:val="24"/>
          <w:szCs w:val="21"/>
        </w:rPr>
      </w:pPr>
      <w:r>
        <w:rPr>
          <w:rFonts w:ascii="Times New Roman" w:hAnsi="Times New Roman" w:eastAsia="宋体" w:cs="Times New Roman"/>
          <w:sz w:val="24"/>
          <w:szCs w:val="21"/>
        </w:rPr>
        <w:t>XCP 传输层支持 on CAN / on CANFD / on ETH</w:t>
      </w:r>
    </w:p>
    <w:p>
      <w:pPr>
        <w:numPr>
          <w:ilvl w:val="0"/>
          <w:numId w:val="30"/>
        </w:numPr>
        <w:spacing w:line="360" w:lineRule="auto"/>
        <w:ind w:left="0" w:firstLine="480" w:firstLineChars="200"/>
        <w:rPr>
          <w:rFonts w:ascii="Times New Roman" w:hAnsi="Times New Roman" w:eastAsia="宋体" w:cs="Times New Roman"/>
          <w:sz w:val="24"/>
          <w:szCs w:val="21"/>
        </w:rPr>
      </w:pPr>
      <w:r>
        <w:rPr>
          <w:rFonts w:ascii="Times New Roman" w:hAnsi="Times New Roman" w:eastAsia="宋体" w:cs="Times New Roman"/>
          <w:sz w:val="24"/>
          <w:szCs w:val="21"/>
        </w:rPr>
        <w:t>支持 CCP / XCP 解锁</w:t>
      </w:r>
    </w:p>
    <w:p>
      <w:pPr>
        <w:numPr>
          <w:ilvl w:val="0"/>
          <w:numId w:val="30"/>
        </w:numPr>
        <w:spacing w:line="360" w:lineRule="auto"/>
        <w:ind w:left="0" w:firstLine="480" w:firstLineChars="200"/>
        <w:rPr>
          <w:rFonts w:ascii="Times New Roman" w:hAnsi="Times New Roman" w:eastAsia="宋体" w:cs="Times New Roman"/>
          <w:sz w:val="24"/>
          <w:szCs w:val="21"/>
        </w:rPr>
      </w:pPr>
      <w:r>
        <w:rPr>
          <w:rFonts w:ascii="Times New Roman" w:hAnsi="Times New Roman" w:eastAsia="宋体" w:cs="Times New Roman"/>
          <w:sz w:val="24"/>
          <w:szCs w:val="21"/>
        </w:rPr>
        <w:t>支持脚本通过 CCP 刷写</w:t>
      </w:r>
    </w:p>
    <w:p>
      <w:pPr>
        <w:numPr>
          <w:ilvl w:val="0"/>
          <w:numId w:val="30"/>
        </w:numPr>
        <w:spacing w:line="360" w:lineRule="auto"/>
        <w:ind w:left="0" w:firstLine="480" w:firstLineChars="200"/>
        <w:rPr>
          <w:rFonts w:ascii="Times New Roman" w:hAnsi="Times New Roman" w:eastAsia="宋体" w:cs="Times New Roman"/>
          <w:sz w:val="24"/>
          <w:szCs w:val="21"/>
        </w:rPr>
      </w:pPr>
      <w:r>
        <w:rPr>
          <w:rFonts w:ascii="Times New Roman" w:hAnsi="Times New Roman" w:eastAsia="宋体" w:cs="Times New Roman"/>
          <w:sz w:val="24"/>
          <w:szCs w:val="21"/>
        </w:rPr>
        <w:t>支持 hex, S19 数据文件</w:t>
      </w:r>
    </w:p>
    <w:p>
      <w:pPr>
        <w:numPr>
          <w:ilvl w:val="0"/>
          <w:numId w:val="30"/>
        </w:numPr>
        <w:spacing w:line="360" w:lineRule="auto"/>
        <w:ind w:left="0" w:firstLine="480" w:firstLineChars="200"/>
        <w:rPr>
          <w:rFonts w:ascii="Times New Roman" w:hAnsi="Times New Roman" w:eastAsia="宋体" w:cs="Times New Roman"/>
          <w:sz w:val="24"/>
          <w:szCs w:val="21"/>
        </w:rPr>
      </w:pPr>
      <w:r>
        <w:rPr>
          <w:rFonts w:ascii="Times New Roman" w:hAnsi="Times New Roman" w:eastAsia="宋体" w:cs="Times New Roman"/>
          <w:sz w:val="24"/>
          <w:szCs w:val="21"/>
        </w:rPr>
        <w:t>支持 Polling 模式读取测量量, 周期可灵活配置</w:t>
      </w:r>
    </w:p>
    <w:p>
      <w:pPr>
        <w:numPr>
          <w:ilvl w:val="0"/>
          <w:numId w:val="30"/>
        </w:numPr>
        <w:spacing w:line="360" w:lineRule="auto"/>
        <w:ind w:left="0" w:firstLine="480" w:firstLineChars="200"/>
        <w:rPr>
          <w:rFonts w:ascii="Times New Roman" w:hAnsi="Times New Roman" w:eastAsia="宋体" w:cs="Times New Roman"/>
          <w:sz w:val="24"/>
          <w:szCs w:val="21"/>
        </w:rPr>
      </w:pPr>
      <w:r>
        <w:rPr>
          <w:rFonts w:ascii="Times New Roman" w:hAnsi="Times New Roman" w:eastAsia="宋体" w:cs="Times New Roman"/>
          <w:sz w:val="24"/>
          <w:szCs w:val="21"/>
        </w:rPr>
        <w:t>支持通过示波器显示测量数据值</w:t>
      </w:r>
    </w:p>
    <w:p>
      <w:pPr>
        <w:numPr>
          <w:ilvl w:val="2"/>
          <w:numId w:val="0"/>
        </w:numPr>
        <w:tabs>
          <w:tab w:val="left" w:pos="624"/>
        </w:tabs>
        <w:spacing w:line="360" w:lineRule="auto"/>
        <w:outlineLvl w:val="4"/>
        <w:rPr>
          <w:rFonts w:ascii="Times New Roman" w:hAnsi="Times New Roman" w:eastAsia="宋体" w:cs="Times New Roman"/>
          <w:sz w:val="24"/>
          <w:szCs w:val="21"/>
        </w:rPr>
      </w:pPr>
      <w:r>
        <w:rPr>
          <w:rFonts w:hint="eastAsia" w:ascii="Times New Roman" w:hAnsi="Times New Roman" w:eastAsia="宋体" w:cs="Times New Roman"/>
          <w:sz w:val="24"/>
          <w:szCs w:val="21"/>
        </w:rPr>
        <w:t>4.1.4 其他</w:t>
      </w:r>
    </w:p>
    <w:p>
      <w:pPr>
        <w:numPr>
          <w:ilvl w:val="0"/>
          <w:numId w:val="29"/>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在硬件支持的情况下质保期内支持软件免费升级；</w:t>
      </w:r>
    </w:p>
    <w:p>
      <w:pPr>
        <w:numPr>
          <w:ilvl w:val="0"/>
          <w:numId w:val="29"/>
        </w:numPr>
        <w:spacing w:line="360" w:lineRule="auto"/>
      </w:pPr>
      <w:r>
        <w:rPr>
          <w:rFonts w:hint="eastAsia" w:ascii="Times New Roman" w:hAnsi="Times New Roman" w:eastAsia="宋体" w:cs="Times New Roman"/>
          <w:sz w:val="24"/>
          <w:szCs w:val="21"/>
        </w:rPr>
        <w:t>★软件不受License等限制，允许多用户同时使用，具有永久使用权限；</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4.2故障注入软件要求</w:t>
      </w:r>
    </w:p>
    <w:p>
      <w:pPr>
        <w:numPr>
          <w:ilvl w:val="0"/>
          <w:numId w:val="31"/>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可以支持故障注入单元的故障注入配置和手动激活与取消；</w:t>
      </w:r>
    </w:p>
    <w:p>
      <w:pPr>
        <w:numPr>
          <w:ilvl w:val="0"/>
          <w:numId w:val="31"/>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支持以拖拽的方式选取需要配置的通道；</w:t>
      </w:r>
    </w:p>
    <w:p>
      <w:pPr>
        <w:numPr>
          <w:ilvl w:val="0"/>
          <w:numId w:val="31"/>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可以对每个信号通道的故障类型进行设置和激活；</w:t>
      </w:r>
    </w:p>
    <w:p>
      <w:pPr>
        <w:numPr>
          <w:ilvl w:val="0"/>
          <w:numId w:val="31"/>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可以对多个信号通道的故障组合同时进行激活；</w:t>
      </w:r>
    </w:p>
    <w:p>
      <w:pPr>
        <w:numPr>
          <w:ilvl w:val="0"/>
          <w:numId w:val="31"/>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能够导出或读取所有选定通道的故障配置状态；</w:t>
      </w:r>
    </w:p>
    <w:p>
      <w:pPr>
        <w:numPr>
          <w:ilvl w:val="0"/>
          <w:numId w:val="31"/>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能够设置故障激活的持续时间。</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4.3 IO模型生成工具要求</w:t>
      </w:r>
    </w:p>
    <w:p>
      <w:pPr>
        <w:numPr>
          <w:ilvl w:val="0"/>
          <w:numId w:val="32"/>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支持导入HIL系统设计的信号列表，并完成对信号列表的解析，自动调用HIL平台的输入输出硬件接口模块，实现Simulink 硬线IO模型的自动生成，IO模型与硬件接口的自动匹配；</w:t>
      </w:r>
    </w:p>
    <w:p>
      <w:pPr>
        <w:numPr>
          <w:ilvl w:val="0"/>
          <w:numId w:val="32"/>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支持导入CAN总线dbc文件，并完成对dbc的解析，实现普通输入输出CAN IO模型和网关IO模型的自动生成（包含Checksum算法），IO模型与总线接口的自动匹配；</w:t>
      </w:r>
    </w:p>
    <w:p>
      <w:pPr>
        <w:numPr>
          <w:ilvl w:val="0"/>
          <w:numId w:val="32"/>
        </w:numPr>
        <w:spacing w:line="360" w:lineRule="auto"/>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IO模型需包含输入输出（相对于HIL而言）两大类。并且硬线IO与总线IO独立封装；</w:t>
      </w:r>
    </w:p>
    <w:p>
      <w:pPr>
        <w:numPr>
          <w:ilvl w:val="0"/>
          <w:numId w:val="32"/>
        </w:numPr>
        <w:spacing w:line="360" w:lineRule="auto"/>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不同ECU的信号独立封装。同一ECU的信号，相同类型的IO信号独立封装；</w:t>
      </w:r>
    </w:p>
    <w:p>
      <w:pPr>
        <w:numPr>
          <w:ilvl w:val="0"/>
          <w:numId w:val="32"/>
        </w:numPr>
        <w:spacing w:line="360" w:lineRule="auto"/>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IO模型必须外观整洁，内部连线清晰无交叉，模块布置无重叠，大小合理；</w:t>
      </w:r>
    </w:p>
    <w:p>
      <w:pPr>
        <w:numPr>
          <w:ilvl w:val="0"/>
          <w:numId w:val="32"/>
        </w:numPr>
        <w:spacing w:line="360" w:lineRule="auto"/>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每一个信号线都必须按照信号列表或者总线database中定义的名称进行自动命名，名称至少包含ECU、信号类型、信号名称等信息；</w:t>
      </w:r>
    </w:p>
    <w:p>
      <w:pPr>
        <w:numPr>
          <w:ilvl w:val="0"/>
          <w:numId w:val="32"/>
        </w:numPr>
        <w:spacing w:line="360" w:lineRule="auto"/>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每个信号都要具备手动设定接口，即传输到硬件端口的值即可来至于前端车辆模型，也可来至于手动输入。针对数字类硬线信号，还必须包含取反模块，实现0/1的快速切换配置。</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4.4自动测试软件要求</w:t>
      </w:r>
    </w:p>
    <w:p>
      <w:pPr>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自动测试</w:t>
      </w:r>
      <w:r>
        <w:rPr>
          <w:rFonts w:ascii="Times New Roman" w:hAnsi="Times New Roman" w:eastAsia="宋体" w:cs="Times New Roman"/>
          <w:sz w:val="24"/>
          <w:szCs w:val="24"/>
        </w:rPr>
        <w:t>软件用于编写自动测试序列，并</w:t>
      </w:r>
      <w:r>
        <w:rPr>
          <w:rFonts w:hint="eastAsia" w:ascii="Times New Roman" w:hAnsi="Times New Roman" w:eastAsia="宋体" w:cs="Times New Roman"/>
          <w:sz w:val="24"/>
          <w:szCs w:val="24"/>
        </w:rPr>
        <w:t>基于</w:t>
      </w:r>
      <w:r>
        <w:rPr>
          <w:rFonts w:ascii="Times New Roman" w:hAnsi="Times New Roman" w:eastAsia="宋体" w:cs="Times New Roman"/>
          <w:sz w:val="24"/>
          <w:szCs w:val="24"/>
        </w:rPr>
        <w:t>HIL设备进行自动测试实施，生成测试报告。投标方</w:t>
      </w:r>
      <w:r>
        <w:rPr>
          <w:rFonts w:hint="eastAsia" w:ascii="Times New Roman" w:hAnsi="Times New Roman" w:eastAsia="宋体" w:cs="Times New Roman"/>
          <w:sz w:val="24"/>
          <w:szCs w:val="24"/>
        </w:rPr>
        <w:t>需</w:t>
      </w:r>
      <w:r>
        <w:rPr>
          <w:rFonts w:ascii="Times New Roman" w:hAnsi="Times New Roman" w:eastAsia="宋体" w:cs="Times New Roman"/>
          <w:sz w:val="24"/>
          <w:szCs w:val="24"/>
        </w:rPr>
        <w:t>在方案中</w:t>
      </w:r>
      <w:r>
        <w:rPr>
          <w:rFonts w:hint="eastAsia" w:ascii="Times New Roman" w:hAnsi="Times New Roman" w:eastAsia="宋体" w:cs="Times New Roman"/>
          <w:sz w:val="24"/>
          <w:szCs w:val="24"/>
        </w:rPr>
        <w:t>图文</w:t>
      </w:r>
      <w:r>
        <w:rPr>
          <w:rFonts w:ascii="Times New Roman" w:hAnsi="Times New Roman" w:eastAsia="宋体" w:cs="Times New Roman"/>
          <w:sz w:val="24"/>
          <w:szCs w:val="24"/>
        </w:rPr>
        <w:t>并茂的充分证明</w:t>
      </w:r>
      <w:r>
        <w:rPr>
          <w:rFonts w:hint="eastAsia" w:ascii="Times New Roman" w:hAnsi="Times New Roman" w:eastAsia="宋体" w:cs="Times New Roman"/>
          <w:sz w:val="24"/>
          <w:szCs w:val="24"/>
        </w:rPr>
        <w:t>相关</w:t>
      </w:r>
      <w:r>
        <w:rPr>
          <w:rFonts w:ascii="Times New Roman" w:hAnsi="Times New Roman" w:eastAsia="宋体" w:cs="Times New Roman"/>
          <w:sz w:val="24"/>
          <w:szCs w:val="24"/>
        </w:rPr>
        <w:t>软件功能的实现。</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支持采用拖拽的方式搭建测试序列，并支持脚本语言方式编写复杂逻辑；</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与试验管理软件无缝连接可自动打开试验管理软件进行模型的下载；</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支持调用故障注入设备执行自动测试，可设置注入的故障类型；</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能够自动生成基于XML的HTML和PDF格式的测试报告，并可以重复生成，测试报告的格式可根据需求进行自定制；</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支持CANoe、Matlab、Office、DYNA4、VTD、Trucksim等第三方软件的调用；</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需提供标准的诊断模块库，支持基于SAE J2534协议标准的诊断设备，支持ODX数据库的解析，可基于此模块进行ECU诊断功能的测试；</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支持自定义库的封装，并开放自定义库的接口变量，库同步时不会对序列中引入库的接口变量赋值进行修改；</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支持测试用例离线开发及调试，各种设备都可以分别配置离线和在线执行状态。支持测试用例的静态编译及语法检查，在测试序列执行之前提示语法有错误的序列模块；</w:t>
      </w:r>
    </w:p>
    <w:p>
      <w:pPr>
        <w:numPr>
          <w:ilvl w:val="0"/>
          <w:numId w:val="33"/>
        </w:numPr>
        <w:spacing w:line="360" w:lineRule="auto"/>
        <w:rPr>
          <w:rFonts w:ascii="Times New Roman" w:hAnsi="Times New Roman" w:eastAsia="宋体" w:cs="Times New Roman"/>
          <w:sz w:val="24"/>
          <w:szCs w:val="21"/>
        </w:rPr>
      </w:pPr>
      <w:r>
        <w:rPr>
          <w:rFonts w:ascii="Times New Roman" w:hAnsi="Times New Roman" w:eastAsia="宋体" w:cs="Times New Roman"/>
          <w:sz w:val="24"/>
          <w:szCs w:val="21"/>
        </w:rPr>
        <w:t>支持逻辑测试用例</w:t>
      </w:r>
      <w:r>
        <w:rPr>
          <w:rFonts w:hint="eastAsia" w:ascii="Times New Roman" w:hAnsi="Times New Roman" w:eastAsia="宋体" w:cs="Times New Roman"/>
          <w:sz w:val="24"/>
          <w:szCs w:val="21"/>
        </w:rPr>
        <w:t>（LTC）</w:t>
      </w:r>
      <w:r>
        <w:rPr>
          <w:rFonts w:ascii="Times New Roman" w:hAnsi="Times New Roman" w:eastAsia="宋体" w:cs="Times New Roman"/>
          <w:sz w:val="24"/>
          <w:szCs w:val="21"/>
        </w:rPr>
        <w:t>和</w:t>
      </w:r>
      <w:r>
        <w:rPr>
          <w:rFonts w:hint="eastAsia" w:ascii="Times New Roman" w:hAnsi="Times New Roman" w:eastAsia="宋体" w:cs="Times New Roman"/>
          <w:sz w:val="24"/>
          <w:szCs w:val="21"/>
        </w:rPr>
        <w:t>具体</w:t>
      </w:r>
      <w:r>
        <w:rPr>
          <w:rFonts w:ascii="Times New Roman" w:hAnsi="Times New Roman" w:eastAsia="宋体" w:cs="Times New Roman"/>
          <w:sz w:val="24"/>
          <w:szCs w:val="21"/>
        </w:rPr>
        <w:t>测试用例</w:t>
      </w:r>
      <w:r>
        <w:rPr>
          <w:rFonts w:hint="eastAsia" w:ascii="Times New Roman" w:hAnsi="Times New Roman" w:eastAsia="宋体" w:cs="Times New Roman"/>
          <w:sz w:val="24"/>
          <w:szCs w:val="21"/>
        </w:rPr>
        <w:t>（CTC）</w:t>
      </w:r>
      <w:r>
        <w:rPr>
          <w:rFonts w:ascii="Times New Roman" w:hAnsi="Times New Roman" w:eastAsia="宋体" w:cs="Times New Roman"/>
          <w:sz w:val="24"/>
          <w:szCs w:val="21"/>
        </w:rPr>
        <w:t>的分离，</w:t>
      </w:r>
      <w:r>
        <w:rPr>
          <w:rFonts w:hint="eastAsia" w:ascii="Times New Roman" w:hAnsi="Times New Roman" w:eastAsia="宋体" w:cs="Times New Roman"/>
          <w:sz w:val="24"/>
          <w:szCs w:val="21"/>
        </w:rPr>
        <w:t>支持</w:t>
      </w:r>
      <w:r>
        <w:rPr>
          <w:rFonts w:ascii="Times New Roman" w:hAnsi="Times New Roman" w:eastAsia="宋体" w:cs="Times New Roman"/>
          <w:sz w:val="24"/>
          <w:szCs w:val="21"/>
        </w:rPr>
        <w:t>测试序列参数化功能，每个序列的变量可通过参数赋值表格进行赋值，从而实现相同逻辑测试用例只编写一次</w:t>
      </w:r>
      <w:r>
        <w:rPr>
          <w:rFonts w:hint="eastAsia" w:ascii="Times New Roman" w:hAnsi="Times New Roman" w:eastAsia="宋体" w:cs="Times New Roman"/>
          <w:sz w:val="24"/>
          <w:szCs w:val="21"/>
        </w:rPr>
        <w:t>。</w:t>
      </w:r>
      <w:r>
        <w:rPr>
          <w:rFonts w:ascii="Times New Roman" w:hAnsi="Times New Roman" w:eastAsia="宋体" w:cs="Times New Roman"/>
          <w:sz w:val="24"/>
          <w:szCs w:val="21"/>
        </w:rPr>
        <w:t>支持由LTC生成CTC过程的脚本编写，可根据自定义需要自动生成参数表。</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支持定制测试计划，可编辑计划所包含的测试用例并支持配置执行次数与执行次序；</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提供基本库，主要包括图形化的逻辑语句，实现如If Else、For、break等控制流程；</w:t>
      </w:r>
    </w:p>
    <w:p>
      <w:pPr>
        <w:numPr>
          <w:ilvl w:val="0"/>
          <w:numId w:val="33"/>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提供测量标定库，支持INCA，CANAPE等标定诊断软件的调用，不需要额外购买其他模块。该模块库需支持测量量的瞬时读取和判断，支持Parameter、Curve、Map、Shared Axis、Value Block等常用标定类型的读写；</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4.5车辆动力学软件要求</w:t>
      </w:r>
    </w:p>
    <w:p>
      <w:pPr>
        <w:numPr>
          <w:ilvl w:val="1"/>
          <w:numId w:val="0"/>
        </w:numPr>
        <w:tabs>
          <w:tab w:val="left" w:pos="454"/>
        </w:tabs>
        <w:spacing w:line="360" w:lineRule="auto"/>
        <w:outlineLvl w:val="4"/>
        <w:rPr>
          <w:rFonts w:ascii="Times New Roman" w:hAnsi="Times New Roman" w:eastAsia="宋体" w:cs="Times New Roman"/>
          <w:sz w:val="24"/>
          <w:szCs w:val="24"/>
        </w:rPr>
      </w:pPr>
      <w:bookmarkStart w:id="59" w:name="_Toc9681"/>
      <w:bookmarkStart w:id="60" w:name="_Toc152279002"/>
      <w:r>
        <w:rPr>
          <w:rFonts w:hint="eastAsia" w:ascii="Times New Roman" w:hAnsi="Times New Roman" w:eastAsia="宋体" w:cs="Times New Roman"/>
          <w:sz w:val="24"/>
          <w:szCs w:val="24"/>
        </w:rPr>
        <w:t>4.5.1车辆模型</w:t>
      </w:r>
      <w:bookmarkEnd w:id="59"/>
      <w:r>
        <w:rPr>
          <w:rFonts w:hint="eastAsia" w:ascii="Times New Roman" w:hAnsi="Times New Roman" w:eastAsia="宋体" w:cs="Times New Roman"/>
          <w:sz w:val="24"/>
          <w:szCs w:val="24"/>
        </w:rPr>
        <w:t>总体要求</w:t>
      </w:r>
      <w:bookmarkEnd w:id="60"/>
    </w:p>
    <w:p>
      <w:pPr>
        <w:pStyle w:val="149"/>
        <w:numPr>
          <w:ilvl w:val="0"/>
          <w:numId w:val="0"/>
        </w:numPr>
        <w:spacing w:line="360" w:lineRule="auto"/>
        <w:ind w:firstLine="480" w:firstLineChars="200"/>
      </w:pPr>
      <w:r>
        <w:rPr>
          <w:rFonts w:hint="eastAsia"/>
        </w:rPr>
        <w:t>1）</w:t>
      </w:r>
      <w:r>
        <w:rPr>
          <w:rFonts w:hint="eastAsia" w:ascii="宋体" w:hAnsi="宋体" w:cs="宋体"/>
        </w:rPr>
        <w:t>★</w:t>
      </w:r>
      <w:r>
        <w:rPr>
          <w:rFonts w:ascii="宋体" w:hAnsi="宋体" w:cs="宋体"/>
          <w:color w:val="000000"/>
        </w:rPr>
        <w:t>采用成熟的商业化模型</w:t>
      </w:r>
      <w:r>
        <w:rPr>
          <w:rFonts w:ascii="宋体" w:hAnsi="宋体" w:cs="宋体"/>
        </w:rPr>
        <w:t>，</w:t>
      </w:r>
      <w:r>
        <w:rPr>
          <w:rFonts w:ascii="宋体" w:hAnsi="宋体" w:cs="宋体"/>
          <w:color w:val="000000"/>
        </w:rPr>
        <w:t>除特殊说明外，均要求有</w:t>
      </w:r>
      <w:r>
        <w:rPr>
          <w:rFonts w:hint="eastAsia" w:ascii="宋体" w:hAnsi="宋体" w:cs="宋体"/>
          <w:color w:val="000000"/>
        </w:rPr>
        <w:t>5</w:t>
      </w:r>
      <w:r>
        <w:rPr>
          <w:rFonts w:ascii="宋体" w:hAnsi="宋体" w:cs="宋体"/>
          <w:color w:val="000000"/>
        </w:rPr>
        <w:t>年以上的版本更新记录。</w:t>
      </w:r>
    </w:p>
    <w:p>
      <w:pPr>
        <w:pStyle w:val="149"/>
        <w:numPr>
          <w:ilvl w:val="0"/>
          <w:numId w:val="0"/>
        </w:numPr>
        <w:spacing w:line="360" w:lineRule="auto"/>
        <w:ind w:firstLine="480" w:firstLineChars="200"/>
      </w:pPr>
      <w:r>
        <w:rPr>
          <w:rFonts w:hint="eastAsia"/>
        </w:rPr>
        <w:t>2）车辆模型应为多体、全参数化、非线性、具有可扩展能力的模型。模型具有开放性，留有Simulink接口，并具有方便的可视化较强的参数化接口。</w:t>
      </w:r>
    </w:p>
    <w:p>
      <w:pPr>
        <w:pStyle w:val="149"/>
        <w:numPr>
          <w:ilvl w:val="0"/>
          <w:numId w:val="0"/>
        </w:numPr>
        <w:spacing w:line="360" w:lineRule="auto"/>
        <w:ind w:firstLine="480" w:firstLineChars="200"/>
      </w:pPr>
      <w:r>
        <w:rPr>
          <w:rFonts w:hint="eastAsia"/>
        </w:rPr>
        <w:t>3）车辆模型应留有大量接口，能够实现和simulink自定义模型的替换和集成，满足不同集成方式的需求。</w:t>
      </w:r>
    </w:p>
    <w:p>
      <w:pPr>
        <w:pStyle w:val="149"/>
        <w:numPr>
          <w:ilvl w:val="0"/>
          <w:numId w:val="0"/>
        </w:numPr>
        <w:spacing w:line="360" w:lineRule="auto"/>
        <w:ind w:firstLine="480" w:firstLineChars="200"/>
      </w:pPr>
      <w:r>
        <w:rPr>
          <w:rFonts w:hint="eastAsia"/>
        </w:rPr>
        <w:t>4）商用车辆模型应支持2轴、3轴</w:t>
      </w:r>
      <w:r>
        <w:t>、4轴及</w:t>
      </w:r>
      <w:r>
        <w:rPr>
          <w:rFonts w:hint="eastAsia"/>
        </w:rPr>
        <w:t>5轴</w:t>
      </w:r>
      <w:r>
        <w:t>车辆模型，且均为多体动力学模型，</w:t>
      </w:r>
      <w:r>
        <w:rPr>
          <w:rFonts w:hint="eastAsia"/>
        </w:rPr>
        <w:t>同时各个轴</w:t>
      </w:r>
      <w:r>
        <w:t>可</w:t>
      </w:r>
      <w:r>
        <w:rPr>
          <w:rFonts w:hint="eastAsia"/>
        </w:rPr>
        <w:t>独立</w:t>
      </w:r>
      <w:r>
        <w:t>配置悬架类型，</w:t>
      </w:r>
      <w:r>
        <w:rPr>
          <w:rFonts w:hint="eastAsia"/>
        </w:rPr>
        <w:t>包括</w:t>
      </w:r>
      <w:r>
        <w:t>独立和非独立悬架</w:t>
      </w:r>
      <w:r>
        <w:rPr>
          <w:rFonts w:hint="eastAsia"/>
        </w:rPr>
        <w:t>，</w:t>
      </w:r>
      <w:r>
        <w:t>此外</w:t>
      </w:r>
      <w:r>
        <w:rPr>
          <w:rFonts w:hint="eastAsia"/>
        </w:rPr>
        <w:t>每个</w:t>
      </w:r>
      <w:r>
        <w:t>轴均支持</w:t>
      </w:r>
      <w:r>
        <w:rPr>
          <w:rFonts w:hint="eastAsia"/>
        </w:rPr>
        <w:t>配置</w:t>
      </w:r>
      <w:r>
        <w:t>独立转向</w:t>
      </w:r>
      <w:r>
        <w:rPr>
          <w:rFonts w:hint="eastAsia"/>
        </w:rPr>
        <w:t>。模型应具有开放性，留有Simulink接口，并具有方便的可视化较强的参数化接口。</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车辆模型应有如下部分组成：</w:t>
      </w:r>
    </w:p>
    <w:p>
      <w:pPr>
        <w:pStyle w:val="149"/>
        <w:numPr>
          <w:ilvl w:val="0"/>
          <w:numId w:val="0"/>
        </w:numPr>
        <w:spacing w:line="360" w:lineRule="auto"/>
        <w:ind w:firstLine="480" w:firstLineChars="200"/>
      </w:pPr>
      <w:r>
        <w:rPr>
          <w:rFonts w:hint="eastAsia"/>
        </w:rPr>
        <w:t>1）车身；</w:t>
      </w:r>
    </w:p>
    <w:p>
      <w:pPr>
        <w:pStyle w:val="149"/>
        <w:numPr>
          <w:ilvl w:val="0"/>
          <w:numId w:val="0"/>
        </w:numPr>
        <w:spacing w:line="360" w:lineRule="auto"/>
        <w:ind w:firstLine="480" w:firstLineChars="200"/>
      </w:pPr>
      <w:r>
        <w:rPr>
          <w:rFonts w:hint="eastAsia"/>
        </w:rPr>
        <w:t>2）</w:t>
      </w:r>
      <w:r>
        <w:t>3D空气动力学</w:t>
      </w:r>
      <w:r>
        <w:rPr>
          <w:rFonts w:hint="eastAsia"/>
        </w:rPr>
        <w:t>；</w:t>
      </w:r>
    </w:p>
    <w:p>
      <w:pPr>
        <w:pStyle w:val="149"/>
        <w:numPr>
          <w:ilvl w:val="0"/>
          <w:numId w:val="0"/>
        </w:numPr>
        <w:spacing w:line="360" w:lineRule="auto"/>
        <w:ind w:firstLine="480" w:firstLineChars="200"/>
      </w:pPr>
      <w:r>
        <w:rPr>
          <w:rFonts w:hint="eastAsia"/>
        </w:rPr>
        <w:t>3）悬架系统；</w:t>
      </w:r>
    </w:p>
    <w:p>
      <w:pPr>
        <w:pStyle w:val="149"/>
        <w:numPr>
          <w:ilvl w:val="0"/>
          <w:numId w:val="0"/>
        </w:numPr>
        <w:spacing w:line="360" w:lineRule="auto"/>
        <w:ind w:firstLine="480" w:firstLineChars="200"/>
      </w:pPr>
      <w:r>
        <w:rPr>
          <w:rFonts w:hint="eastAsia"/>
        </w:rPr>
        <w:t>4）转向系统；</w:t>
      </w:r>
    </w:p>
    <w:p>
      <w:pPr>
        <w:pStyle w:val="149"/>
        <w:numPr>
          <w:ilvl w:val="0"/>
          <w:numId w:val="0"/>
        </w:numPr>
        <w:spacing w:line="360" w:lineRule="auto"/>
        <w:ind w:firstLine="480" w:firstLineChars="200"/>
      </w:pPr>
      <w:r>
        <w:rPr>
          <w:rFonts w:hint="eastAsia"/>
        </w:rPr>
        <w:t>5）制动系统；</w:t>
      </w:r>
    </w:p>
    <w:p>
      <w:pPr>
        <w:pStyle w:val="149"/>
        <w:numPr>
          <w:ilvl w:val="0"/>
          <w:numId w:val="0"/>
        </w:numPr>
        <w:spacing w:line="360" w:lineRule="auto"/>
        <w:ind w:firstLine="480" w:firstLineChars="200"/>
      </w:pPr>
      <w:r>
        <w:rPr>
          <w:rFonts w:hint="eastAsia"/>
        </w:rPr>
        <w:t>6）动力传动系统；</w:t>
      </w:r>
    </w:p>
    <w:p>
      <w:pPr>
        <w:pStyle w:val="149"/>
        <w:numPr>
          <w:ilvl w:val="0"/>
          <w:numId w:val="0"/>
        </w:numPr>
        <w:spacing w:line="360" w:lineRule="auto"/>
        <w:ind w:firstLine="480" w:firstLineChars="200"/>
      </w:pPr>
      <w:r>
        <w:rPr>
          <w:rFonts w:hint="eastAsia"/>
        </w:rPr>
        <w:t>7）轮胎</w:t>
      </w:r>
      <w:bookmarkStart w:id="61" w:name="_Toc152279003"/>
      <w:r>
        <w:rPr>
          <w:rFonts w:hint="eastAsia"/>
        </w:rPr>
        <w:t>。</w:t>
      </w:r>
    </w:p>
    <w:p>
      <w:pPr>
        <w:pStyle w:val="150"/>
        <w:numPr>
          <w:ilvl w:val="0"/>
          <w:numId w:val="0"/>
        </w:numPr>
        <w:ind w:left="850" w:hanging="850"/>
        <w:outlineLvl w:val="5"/>
      </w:pPr>
      <w:r>
        <w:rPr>
          <w:rFonts w:hint="eastAsia"/>
        </w:rPr>
        <w:t>4.5.1.1车身系统模型和3D空气动力学要求</w:t>
      </w:r>
      <w:bookmarkEnd w:id="61"/>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车身系统模型坐标系应符合国际车辆坐标系定义，车体自由度应包括：</w:t>
      </w:r>
    </w:p>
    <w:p>
      <w:pPr>
        <w:pStyle w:val="149"/>
        <w:numPr>
          <w:ilvl w:val="0"/>
          <w:numId w:val="0"/>
        </w:numPr>
        <w:spacing w:line="360" w:lineRule="auto"/>
        <w:ind w:firstLine="480" w:firstLineChars="200"/>
      </w:pPr>
      <w:r>
        <w:rPr>
          <w:rFonts w:hint="eastAsia"/>
        </w:rPr>
        <w:t>1）纵向、侧向、垂向三个方向的平动自由度；</w:t>
      </w:r>
    </w:p>
    <w:p>
      <w:pPr>
        <w:pStyle w:val="149"/>
        <w:numPr>
          <w:ilvl w:val="0"/>
          <w:numId w:val="0"/>
        </w:numPr>
        <w:spacing w:line="360" w:lineRule="auto"/>
        <w:ind w:firstLine="480" w:firstLineChars="200"/>
      </w:pPr>
      <w:r>
        <w:rPr>
          <w:rFonts w:hint="eastAsia"/>
        </w:rPr>
        <w:t>2）纵向、侧向、垂向三个方向的转动自由度。</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车体参数能够设置应包括：</w:t>
      </w:r>
    </w:p>
    <w:p>
      <w:pPr>
        <w:pStyle w:val="149"/>
        <w:numPr>
          <w:ilvl w:val="0"/>
          <w:numId w:val="0"/>
        </w:numPr>
        <w:spacing w:line="360" w:lineRule="auto"/>
        <w:ind w:firstLine="480" w:firstLineChars="200"/>
      </w:pPr>
      <w:r>
        <w:rPr>
          <w:rFonts w:hint="eastAsia"/>
        </w:rPr>
        <w:t>1）车辆质心坐标；</w:t>
      </w:r>
    </w:p>
    <w:p>
      <w:pPr>
        <w:pStyle w:val="149"/>
        <w:numPr>
          <w:ilvl w:val="0"/>
          <w:numId w:val="0"/>
        </w:numPr>
        <w:spacing w:line="360" w:lineRule="auto"/>
        <w:ind w:firstLine="480" w:firstLineChars="200"/>
      </w:pPr>
      <w:r>
        <w:rPr>
          <w:rFonts w:hint="eastAsia"/>
        </w:rPr>
        <w:t>2）车体结构参数，如轴距、轮距等；</w:t>
      </w:r>
    </w:p>
    <w:p>
      <w:pPr>
        <w:pStyle w:val="149"/>
        <w:numPr>
          <w:ilvl w:val="0"/>
          <w:numId w:val="0"/>
        </w:numPr>
        <w:spacing w:line="360" w:lineRule="auto"/>
        <w:ind w:firstLine="480" w:firstLineChars="200"/>
      </w:pPr>
      <w:r>
        <w:t>3</w:t>
      </w:r>
      <w:r>
        <w:rPr>
          <w:rFonts w:hint="eastAsia"/>
        </w:rPr>
        <w:t>）车体物理参数，如质量、惯量等；</w:t>
      </w:r>
    </w:p>
    <w:p>
      <w:pPr>
        <w:pStyle w:val="149"/>
        <w:numPr>
          <w:ilvl w:val="0"/>
          <w:numId w:val="0"/>
        </w:numPr>
        <w:spacing w:line="360" w:lineRule="auto"/>
        <w:ind w:firstLine="480" w:firstLineChars="200"/>
      </w:pPr>
      <w:r>
        <w:t>4</w:t>
      </w:r>
      <w:r>
        <w:rPr>
          <w:rFonts w:hint="eastAsia"/>
        </w:rPr>
        <w:t>）10个任意作用点的车辆负载（质量、惯量、坐标位置）。</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针对空气动力学应可配置：</w:t>
      </w:r>
    </w:p>
    <w:p>
      <w:pPr>
        <w:pStyle w:val="149"/>
        <w:numPr>
          <w:ilvl w:val="0"/>
          <w:numId w:val="0"/>
        </w:numPr>
        <w:spacing w:line="360" w:lineRule="auto"/>
        <w:ind w:firstLine="480" w:firstLineChars="200"/>
      </w:pPr>
      <w:r>
        <w:rPr>
          <w:rFonts w:hint="eastAsia"/>
        </w:rPr>
        <w:t>1）风力参考点（风力作用在车体上的中心参考点）；</w:t>
      </w:r>
    </w:p>
    <w:p>
      <w:pPr>
        <w:pStyle w:val="149"/>
        <w:numPr>
          <w:ilvl w:val="0"/>
          <w:numId w:val="0"/>
        </w:numPr>
        <w:spacing w:line="360" w:lineRule="auto"/>
        <w:ind w:firstLine="480" w:firstLineChars="200"/>
      </w:pPr>
      <w:r>
        <w:rPr>
          <w:rFonts w:hint="eastAsia"/>
        </w:rPr>
        <w:t>2）空气密度；</w:t>
      </w:r>
    </w:p>
    <w:p>
      <w:pPr>
        <w:pStyle w:val="149"/>
        <w:numPr>
          <w:ilvl w:val="0"/>
          <w:numId w:val="0"/>
        </w:numPr>
        <w:spacing w:line="360" w:lineRule="auto"/>
        <w:ind w:firstLine="480" w:firstLineChars="200"/>
      </w:pPr>
      <w:r>
        <w:rPr>
          <w:rFonts w:hint="eastAsia"/>
        </w:rPr>
        <w:t>3）风速；</w:t>
      </w:r>
    </w:p>
    <w:p>
      <w:pPr>
        <w:pStyle w:val="149"/>
        <w:numPr>
          <w:ilvl w:val="0"/>
          <w:numId w:val="0"/>
        </w:numPr>
        <w:spacing w:line="360" w:lineRule="auto"/>
        <w:ind w:firstLine="480" w:firstLineChars="200"/>
      </w:pPr>
      <w:r>
        <w:rPr>
          <w:rFonts w:hint="eastAsia"/>
        </w:rPr>
        <w:t>4）迎风面积和参考长度；</w:t>
      </w:r>
    </w:p>
    <w:p>
      <w:pPr>
        <w:pStyle w:val="149"/>
        <w:numPr>
          <w:ilvl w:val="0"/>
          <w:numId w:val="0"/>
        </w:numPr>
        <w:spacing w:line="360" w:lineRule="auto"/>
        <w:ind w:firstLine="480" w:firstLineChars="200"/>
      </w:pPr>
      <w:r>
        <w:rPr>
          <w:rFonts w:hint="eastAsia"/>
        </w:rPr>
        <w:t>5）风力系数曲线。</w:t>
      </w:r>
    </w:p>
    <w:p>
      <w:pPr>
        <w:pStyle w:val="150"/>
        <w:numPr>
          <w:ilvl w:val="0"/>
          <w:numId w:val="0"/>
        </w:numPr>
        <w:ind w:left="850" w:hanging="850"/>
        <w:outlineLvl w:val="5"/>
      </w:pPr>
      <w:bookmarkStart w:id="62" w:name="_Toc152279004"/>
      <w:r>
        <w:rPr>
          <w:rFonts w:hint="eastAsia"/>
        </w:rPr>
        <w:t>4.5.1.2悬架系统要求</w:t>
      </w:r>
      <w:bookmarkEnd w:id="62"/>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悬架模型应包括弹簧、阻尼、缓冲器和稳定器，采用力特性和K&amp;C特性输入的方式建立，为便于用户设置，K&amp;C特性可通过单变量曲线输入，同时能够输入详细的减震器、阻尼，弹簧刚度，稳定杆刚度，限位块刚度和阻尼等，并提供外部力接口。悬架模型应具有以下特性：</w:t>
      </w:r>
    </w:p>
    <w:p>
      <w:pPr>
        <w:pStyle w:val="149"/>
        <w:numPr>
          <w:ilvl w:val="0"/>
          <w:numId w:val="0"/>
        </w:numPr>
        <w:spacing w:line="360" w:lineRule="auto"/>
        <w:ind w:left="480"/>
      </w:pPr>
      <w:r>
        <w:rPr>
          <w:rFonts w:hint="eastAsia"/>
        </w:rPr>
        <w:t>1）线性、非线性描述部件特性；</w:t>
      </w:r>
      <w:r>
        <w:t xml:space="preserve"> </w:t>
      </w:r>
    </w:p>
    <w:p>
      <w:pPr>
        <w:pStyle w:val="149"/>
        <w:numPr>
          <w:ilvl w:val="0"/>
          <w:numId w:val="0"/>
        </w:numPr>
        <w:spacing w:line="360" w:lineRule="auto"/>
        <w:ind w:left="480"/>
      </w:pPr>
      <w:r>
        <w:rPr>
          <w:rFonts w:hint="eastAsia"/>
        </w:rPr>
        <w:t>2）载荷组合工况</w:t>
      </w:r>
      <w:r>
        <w:t>(</w:t>
      </w:r>
      <w:r>
        <w:rPr>
          <w:rFonts w:hint="eastAsia"/>
        </w:rPr>
        <w:t>如转向</w:t>
      </w:r>
      <w:r>
        <w:t>+</w:t>
      </w:r>
      <w:r>
        <w:rPr>
          <w:rFonts w:hint="eastAsia"/>
        </w:rPr>
        <w:t>车身压缩</w:t>
      </w:r>
      <w:r>
        <w:t>)</w:t>
      </w:r>
      <w:r>
        <w:rPr>
          <w:rFonts w:hint="eastAsia"/>
        </w:rPr>
        <w:t>；</w:t>
      </w:r>
    </w:p>
    <w:p>
      <w:pPr>
        <w:pStyle w:val="149"/>
        <w:numPr>
          <w:ilvl w:val="0"/>
          <w:numId w:val="0"/>
        </w:numPr>
        <w:spacing w:line="360" w:lineRule="auto"/>
        <w:ind w:left="480"/>
      </w:pPr>
      <w:r>
        <w:rPr>
          <w:rFonts w:hint="eastAsia"/>
        </w:rPr>
        <w:t>3）</w:t>
      </w:r>
      <w:r>
        <w:t>K&amp;C</w:t>
      </w:r>
      <w:r>
        <w:rPr>
          <w:rFonts w:hint="eastAsia"/>
        </w:rPr>
        <w:t>参数可选；</w:t>
      </w:r>
    </w:p>
    <w:p>
      <w:pPr>
        <w:pStyle w:val="149"/>
        <w:numPr>
          <w:ilvl w:val="0"/>
          <w:numId w:val="0"/>
        </w:numPr>
        <w:spacing w:line="360" w:lineRule="auto"/>
        <w:ind w:left="480"/>
      </w:pPr>
      <w:r>
        <w:rPr>
          <w:rFonts w:hint="eastAsia"/>
        </w:rPr>
        <w:t>4）阻尼、弹簧、减震、稳定器、外部力；</w:t>
      </w:r>
    </w:p>
    <w:p>
      <w:pPr>
        <w:pStyle w:val="149"/>
        <w:numPr>
          <w:ilvl w:val="0"/>
          <w:numId w:val="0"/>
        </w:numPr>
        <w:spacing w:line="360" w:lineRule="auto"/>
        <w:ind w:left="480"/>
      </w:pPr>
      <w:r>
        <w:rPr>
          <w:rFonts w:hint="eastAsia"/>
        </w:rPr>
        <w:t>5）举升效应自动参数化；</w:t>
      </w:r>
    </w:p>
    <w:p>
      <w:pPr>
        <w:pStyle w:val="149"/>
        <w:numPr>
          <w:ilvl w:val="0"/>
          <w:numId w:val="0"/>
        </w:numPr>
        <w:spacing w:line="360" w:lineRule="auto"/>
        <w:ind w:left="480"/>
      </w:pPr>
      <w:r>
        <w:rPr>
          <w:rFonts w:hint="eastAsia"/>
        </w:rPr>
        <w:t>6）通过参数化缓冲实现局部刚性特性；</w:t>
      </w:r>
      <w:r>
        <w:t xml:space="preserve"> </w:t>
      </w:r>
    </w:p>
    <w:p>
      <w:pPr>
        <w:pStyle w:val="149"/>
        <w:numPr>
          <w:ilvl w:val="0"/>
          <w:numId w:val="0"/>
        </w:numPr>
        <w:spacing w:line="360" w:lineRule="auto"/>
        <w:ind w:left="480"/>
      </w:pPr>
      <w:r>
        <w:rPr>
          <w:rFonts w:hint="eastAsia"/>
        </w:rPr>
        <w:t>7）通过阻尼设置实现车轴动态行为。</w:t>
      </w:r>
      <w:r>
        <w:t xml:space="preserve"> </w:t>
      </w:r>
    </w:p>
    <w:p>
      <w:pPr>
        <w:pStyle w:val="150"/>
        <w:numPr>
          <w:ilvl w:val="0"/>
          <w:numId w:val="0"/>
        </w:numPr>
        <w:ind w:left="850" w:hanging="850"/>
        <w:outlineLvl w:val="5"/>
      </w:pPr>
      <w:bookmarkStart w:id="63" w:name="_Toc152279005"/>
      <w:r>
        <w:rPr>
          <w:rFonts w:hint="eastAsia"/>
        </w:rPr>
        <w:t>4.5.1.3转向系统要求</w:t>
      </w:r>
      <w:bookmarkEnd w:id="63"/>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软件应提供参数驱动转向模型，包括方向盘转角输入以及机械系统和转向助力系统详细描述的转向模型。</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转向系统中的转向机械，转向助力系统，转向控制等部分应可进行详细的参数化建模，转向机械模型包括方向盘，转向柱，循环球减速器，液压助力器，转向拉杆刚度和阻尼等方面的因素都应予以详细考虑。</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同时转向系统应考虑主销的影响，主销参数，包括内倾角、外倾角等均可进行配置。</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支持前轴转向，双轴转向。</w:t>
      </w:r>
    </w:p>
    <w:p>
      <w:pPr>
        <w:pStyle w:val="150"/>
        <w:numPr>
          <w:ilvl w:val="0"/>
          <w:numId w:val="0"/>
        </w:numPr>
        <w:ind w:left="850" w:hanging="850"/>
        <w:outlineLvl w:val="5"/>
      </w:pPr>
      <w:bookmarkStart w:id="64" w:name="_Toc152279006"/>
      <w:r>
        <w:rPr>
          <w:rFonts w:hint="eastAsia"/>
        </w:rPr>
        <w:t>4.5.1.4制动系统</w:t>
      </w:r>
      <w:bookmarkEnd w:id="64"/>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软件应提供参数化的通用制动系统，同时提供了两种形式的制动盘：制动鼓式和制动盘式模型。模型可设置参数应包括：</w:t>
      </w:r>
    </w:p>
    <w:p>
      <w:pPr>
        <w:pStyle w:val="149"/>
        <w:numPr>
          <w:ilvl w:val="0"/>
          <w:numId w:val="0"/>
        </w:numPr>
        <w:spacing w:line="360" w:lineRule="auto"/>
        <w:ind w:firstLine="480" w:firstLineChars="200"/>
      </w:pPr>
      <w:r>
        <w:rPr>
          <w:rFonts w:hint="eastAsia"/>
        </w:rPr>
        <w:t>1）制动踏板与轮缸压力关系曲线；</w:t>
      </w:r>
    </w:p>
    <w:p>
      <w:pPr>
        <w:pStyle w:val="149"/>
        <w:numPr>
          <w:ilvl w:val="0"/>
          <w:numId w:val="0"/>
        </w:numPr>
        <w:spacing w:line="360" w:lineRule="auto"/>
        <w:ind w:firstLine="480" w:firstLineChars="200"/>
      </w:pPr>
      <w:r>
        <w:rPr>
          <w:rFonts w:hint="eastAsia"/>
        </w:rPr>
        <w:t>2）表格参数化制动盘模型：四轮缸压力到轮胎制定扭矩关系曲线；</w:t>
      </w:r>
    </w:p>
    <w:p>
      <w:pPr>
        <w:pStyle w:val="149"/>
        <w:numPr>
          <w:ilvl w:val="0"/>
          <w:numId w:val="0"/>
        </w:numPr>
        <w:spacing w:line="360" w:lineRule="auto"/>
        <w:ind w:firstLine="480" w:firstLineChars="200"/>
      </w:pPr>
      <w:r>
        <w:rPr>
          <w:rFonts w:hint="eastAsia"/>
        </w:rPr>
        <w:t>3）钳式制动盘模型：制动面积、制动效率、摩擦系数等。</w:t>
      </w:r>
    </w:p>
    <w:p>
      <w:pPr>
        <w:pStyle w:val="150"/>
        <w:numPr>
          <w:ilvl w:val="0"/>
          <w:numId w:val="0"/>
        </w:numPr>
        <w:ind w:left="850" w:hanging="850"/>
        <w:outlineLvl w:val="5"/>
      </w:pPr>
      <w:bookmarkStart w:id="65" w:name="_Toc152279007"/>
      <w:r>
        <w:rPr>
          <w:rFonts w:hint="eastAsia"/>
        </w:rPr>
        <w:t>4.5.1.5动力和传动系统</w:t>
      </w:r>
      <w:bookmarkEnd w:id="65"/>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软件应提供至少两种形式的动力和传动系统：纯油、混动模式。其中纯油动力传动系统应包括：起动机、发动机、离合器、液力变矩器、变速箱和包含差速器的传动系统；混动动力和传动系统应包括电机、变速箱和传动系统。动力和传动系统应具备如下特性：</w:t>
      </w:r>
    </w:p>
    <w:p>
      <w:pPr>
        <w:pStyle w:val="149"/>
        <w:numPr>
          <w:ilvl w:val="0"/>
          <w:numId w:val="0"/>
        </w:numPr>
        <w:spacing w:line="360" w:lineRule="auto"/>
        <w:ind w:firstLine="480" w:firstLineChars="200"/>
      </w:pPr>
      <w:r>
        <w:rPr>
          <w:rFonts w:hint="eastAsia"/>
        </w:rPr>
        <w:t>1）可选择动力传动系统模式（纯油、纯电、</w:t>
      </w:r>
      <w:r>
        <w:rPr>
          <w:rFonts w:hint="eastAsia"/>
          <w:color w:val="FF0000"/>
        </w:rPr>
        <w:t>串联/</w:t>
      </w:r>
      <w:r>
        <w:rPr>
          <w:rFonts w:hint="eastAsia"/>
        </w:rPr>
        <w:t>并联混动）；</w:t>
      </w:r>
    </w:p>
    <w:p>
      <w:pPr>
        <w:pStyle w:val="149"/>
        <w:numPr>
          <w:ilvl w:val="0"/>
          <w:numId w:val="0"/>
        </w:numPr>
        <w:spacing w:line="360" w:lineRule="auto"/>
        <w:ind w:firstLine="480" w:firstLineChars="200"/>
      </w:pPr>
      <w:r>
        <w:rPr>
          <w:rFonts w:hint="eastAsia"/>
        </w:rPr>
        <w:t>2）发动机可设置map；</w:t>
      </w:r>
    </w:p>
    <w:p>
      <w:pPr>
        <w:pStyle w:val="149"/>
        <w:numPr>
          <w:ilvl w:val="0"/>
          <w:numId w:val="0"/>
        </w:numPr>
        <w:spacing w:line="360" w:lineRule="auto"/>
        <w:ind w:firstLine="480" w:firstLineChars="200"/>
      </w:pPr>
      <w:r>
        <w:rPr>
          <w:rFonts w:hint="eastAsia"/>
        </w:rPr>
        <w:t>3）离合器为液力变矩器</w:t>
      </w:r>
      <w:r>
        <w:rPr>
          <w:rFonts w:hint="eastAsia"/>
          <w:color w:val="FF0000"/>
        </w:rPr>
        <w:t>或干式摩擦片离合器</w:t>
      </w:r>
      <w:r>
        <w:rPr>
          <w:rFonts w:hint="eastAsia"/>
        </w:rPr>
        <w:t>；</w:t>
      </w:r>
    </w:p>
    <w:p>
      <w:pPr>
        <w:pStyle w:val="149"/>
        <w:numPr>
          <w:ilvl w:val="0"/>
          <w:numId w:val="0"/>
        </w:numPr>
        <w:spacing w:line="360" w:lineRule="auto"/>
        <w:ind w:firstLine="480" w:firstLineChars="200"/>
      </w:pPr>
      <w:r>
        <w:rPr>
          <w:rFonts w:hint="eastAsia"/>
        </w:rPr>
        <w:t>4）变速箱模型为自动变速箱；</w:t>
      </w:r>
    </w:p>
    <w:p>
      <w:pPr>
        <w:pStyle w:val="149"/>
        <w:numPr>
          <w:ilvl w:val="0"/>
          <w:numId w:val="0"/>
        </w:numPr>
        <w:spacing w:line="360" w:lineRule="auto"/>
        <w:ind w:firstLine="480" w:firstLineChars="200"/>
      </w:pPr>
      <w:r>
        <w:rPr>
          <w:rFonts w:hint="eastAsia"/>
        </w:rPr>
        <w:t>5）传动系统能够实现前驱、后驱和四驱形式，并可定义差速器；</w:t>
      </w:r>
    </w:p>
    <w:p>
      <w:pPr>
        <w:pStyle w:val="149"/>
        <w:numPr>
          <w:ilvl w:val="0"/>
          <w:numId w:val="0"/>
        </w:numPr>
        <w:spacing w:line="360" w:lineRule="auto"/>
        <w:ind w:firstLine="480" w:firstLineChars="200"/>
      </w:pPr>
      <w:r>
        <w:rPr>
          <w:rFonts w:hint="eastAsia"/>
        </w:rPr>
        <w:t>6）动力和传动系统包含相应的TCU、</w:t>
      </w:r>
      <w:r>
        <w:rPr>
          <w:rFonts w:hint="eastAsia"/>
          <w:color w:val="FF0000"/>
        </w:rPr>
        <w:t>ECU等</w:t>
      </w:r>
      <w:r>
        <w:rPr>
          <w:rFonts w:hint="eastAsia"/>
        </w:rPr>
        <w:t>控制器。</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动力传动模型应支持扩展多种类发送机、变速箱simulink模型，在满足用户通用使用的基础上，一定程度上的实现定制化需求。同时模型可集成用户自定义独立模块，并能够扩展第三方的传动系统模型。</w:t>
      </w:r>
    </w:p>
    <w:p>
      <w:pPr>
        <w:pStyle w:val="150"/>
        <w:numPr>
          <w:ilvl w:val="0"/>
          <w:numId w:val="0"/>
        </w:numPr>
        <w:ind w:left="850" w:hanging="850"/>
        <w:outlineLvl w:val="5"/>
      </w:pPr>
      <w:bookmarkStart w:id="66" w:name="_Toc152279008"/>
      <w:r>
        <w:rPr>
          <w:rFonts w:hint="eastAsia"/>
        </w:rPr>
        <w:t>4.5.1.6轮胎模型技术要求</w:t>
      </w:r>
      <w:bookmarkEnd w:id="66"/>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软件应提供轮胎特性曲线输入方式和一般魔术公式的轮胎模型，轮胎特性曲线输入方式可由用户配置轮胎特性曲线，包括横向力、纵向力和回正力矩曲线；魔术公式轮胎模型可由用户进行魔术轮胎参数配置。模型应支持：</w:t>
      </w:r>
    </w:p>
    <w:p>
      <w:pPr>
        <w:pStyle w:val="149"/>
        <w:numPr>
          <w:ilvl w:val="0"/>
          <w:numId w:val="0"/>
        </w:numPr>
        <w:spacing w:line="360" w:lineRule="auto"/>
        <w:ind w:firstLine="480" w:firstLineChars="200"/>
      </w:pPr>
      <w:r>
        <w:rPr>
          <w:rFonts w:hint="eastAsia"/>
        </w:rPr>
        <w:t>1）用户轮胎特性曲线导入；</w:t>
      </w:r>
    </w:p>
    <w:p>
      <w:pPr>
        <w:pStyle w:val="149"/>
        <w:numPr>
          <w:ilvl w:val="0"/>
          <w:numId w:val="0"/>
        </w:numPr>
        <w:spacing w:line="360" w:lineRule="auto"/>
        <w:ind w:firstLine="480" w:firstLineChars="200"/>
      </w:pPr>
      <w:r>
        <w:rPr>
          <w:rFonts w:hint="eastAsia"/>
        </w:rPr>
        <w:t>2）用于3D道路环境仿真；</w:t>
      </w:r>
    </w:p>
    <w:p>
      <w:pPr>
        <w:pStyle w:val="149"/>
        <w:numPr>
          <w:ilvl w:val="0"/>
          <w:numId w:val="0"/>
        </w:numPr>
        <w:spacing w:line="360" w:lineRule="auto"/>
        <w:ind w:firstLine="480" w:firstLineChars="200"/>
      </w:pPr>
      <w:r>
        <w:rPr>
          <w:rFonts w:hint="eastAsia"/>
        </w:rPr>
        <w:t>3）基于物体分析功能：结合纵向力和侧向力以及动力学行为。</w:t>
      </w:r>
    </w:p>
    <w:p>
      <w:pPr>
        <w:numPr>
          <w:ilvl w:val="1"/>
          <w:numId w:val="0"/>
        </w:numPr>
        <w:tabs>
          <w:tab w:val="left" w:pos="454"/>
        </w:tabs>
        <w:spacing w:line="360" w:lineRule="auto"/>
        <w:outlineLvl w:val="4"/>
        <w:rPr>
          <w:rFonts w:ascii="Times New Roman" w:hAnsi="Times New Roman" w:eastAsia="宋体" w:cs="Times New Roman"/>
          <w:sz w:val="24"/>
          <w:szCs w:val="24"/>
        </w:rPr>
      </w:pPr>
      <w:bookmarkStart w:id="67" w:name="_Toc27438"/>
      <w:bookmarkStart w:id="68" w:name="_Toc152279009"/>
      <w:r>
        <w:rPr>
          <w:rFonts w:hint="eastAsia" w:ascii="Times New Roman" w:hAnsi="Times New Roman" w:eastAsia="宋体" w:cs="Times New Roman"/>
          <w:sz w:val="24"/>
          <w:szCs w:val="24"/>
        </w:rPr>
        <w:t>4.5.2驾驶操纵及驾驶员模型</w:t>
      </w:r>
      <w:bookmarkEnd w:id="67"/>
      <w:r>
        <w:rPr>
          <w:rFonts w:hint="eastAsia" w:ascii="Times New Roman" w:hAnsi="Times New Roman" w:eastAsia="宋体" w:cs="Times New Roman"/>
          <w:sz w:val="24"/>
          <w:szCs w:val="24"/>
        </w:rPr>
        <w:t>要求</w:t>
      </w:r>
      <w:bookmarkEnd w:id="68"/>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软件驾驶操纵模型应能够实现车辆开闭环测试，并且能够单独对车辆的横向和纵向进行单独开闭环配置，至少包括：</w:t>
      </w:r>
    </w:p>
    <w:p>
      <w:pPr>
        <w:pStyle w:val="149"/>
        <w:numPr>
          <w:ilvl w:val="0"/>
          <w:numId w:val="0"/>
        </w:numPr>
        <w:spacing w:line="360" w:lineRule="auto"/>
        <w:ind w:firstLine="480" w:firstLineChars="200"/>
      </w:pPr>
      <w:r>
        <w:rPr>
          <w:rFonts w:hint="eastAsia"/>
        </w:rPr>
        <w:t>1）纵向开环设置：加速踏板设置、制动踏板设置、加速度大小设置；</w:t>
      </w:r>
    </w:p>
    <w:p>
      <w:pPr>
        <w:pStyle w:val="149"/>
        <w:numPr>
          <w:ilvl w:val="0"/>
          <w:numId w:val="0"/>
        </w:numPr>
        <w:spacing w:line="360" w:lineRule="auto"/>
        <w:ind w:firstLine="480" w:firstLineChars="200"/>
      </w:pPr>
      <w:r>
        <w:rPr>
          <w:rFonts w:hint="eastAsia"/>
        </w:rPr>
        <w:t>2）纵向闭环设置：恒定车速设置；</w:t>
      </w:r>
    </w:p>
    <w:p>
      <w:pPr>
        <w:pStyle w:val="149"/>
        <w:numPr>
          <w:ilvl w:val="0"/>
          <w:numId w:val="0"/>
        </w:numPr>
        <w:spacing w:line="360" w:lineRule="auto"/>
        <w:ind w:firstLine="480" w:firstLineChars="200"/>
      </w:pPr>
      <w:r>
        <w:rPr>
          <w:rFonts w:hint="eastAsia"/>
        </w:rPr>
        <w:t>3）横向开环设置：转角大小设置；</w:t>
      </w:r>
    </w:p>
    <w:p>
      <w:pPr>
        <w:pStyle w:val="149"/>
        <w:numPr>
          <w:ilvl w:val="0"/>
          <w:numId w:val="0"/>
        </w:numPr>
        <w:spacing w:line="360" w:lineRule="auto"/>
        <w:ind w:firstLine="480" w:firstLineChars="200"/>
      </w:pPr>
      <w:r>
        <w:rPr>
          <w:rFonts w:hint="eastAsia"/>
        </w:rPr>
        <w:t>4）横向闭环设置：行驶路径选择、行驶路径偏移设置、行驶路径自定义设置等；</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软件应能实现不同开闭环组合驾驶工况，可覆盖国标规定的车辆性能测试场景，包括双移线、鱼钩、蛇形等。</w:t>
      </w:r>
    </w:p>
    <w:p>
      <w:pPr>
        <w:numPr>
          <w:ilvl w:val="1"/>
          <w:numId w:val="0"/>
        </w:numPr>
        <w:tabs>
          <w:tab w:val="left" w:pos="454"/>
        </w:tabs>
        <w:spacing w:line="360" w:lineRule="auto"/>
        <w:outlineLvl w:val="4"/>
        <w:rPr>
          <w:rFonts w:ascii="Times New Roman" w:hAnsi="Times New Roman" w:eastAsia="宋体" w:cs="Times New Roman"/>
          <w:sz w:val="24"/>
          <w:szCs w:val="24"/>
        </w:rPr>
      </w:pPr>
      <w:bookmarkStart w:id="69" w:name="_Toc152279010"/>
      <w:r>
        <w:rPr>
          <w:rFonts w:hint="eastAsia" w:ascii="Times New Roman" w:hAnsi="Times New Roman" w:eastAsia="宋体" w:cs="Times New Roman"/>
          <w:sz w:val="24"/>
          <w:szCs w:val="24"/>
        </w:rPr>
        <w:t>4.5.3动画渲染要求</w:t>
      </w:r>
      <w:bookmarkEnd w:id="69"/>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软件动画仿真应能提供极其逼真的环境动画，至少包括：</w:t>
      </w:r>
    </w:p>
    <w:p>
      <w:pPr>
        <w:pStyle w:val="149"/>
        <w:numPr>
          <w:ilvl w:val="0"/>
          <w:numId w:val="0"/>
        </w:numPr>
        <w:spacing w:line="360" w:lineRule="auto"/>
        <w:ind w:firstLine="480" w:firstLineChars="200"/>
      </w:pPr>
      <w:r>
        <w:rPr>
          <w:rFonts w:hint="eastAsia"/>
        </w:rPr>
        <w:t>1）逼真的建筑物、树木、草地等环境物体；</w:t>
      </w:r>
    </w:p>
    <w:p>
      <w:pPr>
        <w:pStyle w:val="149"/>
        <w:numPr>
          <w:ilvl w:val="0"/>
          <w:numId w:val="0"/>
        </w:numPr>
        <w:spacing w:line="360" w:lineRule="auto"/>
        <w:ind w:firstLine="480" w:firstLineChars="200"/>
      </w:pPr>
      <w:r>
        <w:rPr>
          <w:rFonts w:hint="eastAsia"/>
        </w:rPr>
        <w:t>2）实际道路模拟，包括车道线、路沿；</w:t>
      </w:r>
    </w:p>
    <w:p>
      <w:pPr>
        <w:pStyle w:val="149"/>
        <w:numPr>
          <w:ilvl w:val="0"/>
          <w:numId w:val="0"/>
        </w:numPr>
        <w:spacing w:line="360" w:lineRule="auto"/>
        <w:ind w:firstLine="480" w:firstLineChars="200"/>
      </w:pPr>
      <w:r>
        <w:rPr>
          <w:rFonts w:hint="eastAsia"/>
        </w:rPr>
        <w:t>3）渲染物体实时光影效果。</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同时软件动画场景应可以实现视角添加和删除，以及通过鼠标实现快速缩放以及旋转功能、设置</w:t>
      </w:r>
      <w:r>
        <w:rPr>
          <w:rFonts w:ascii="Times New Roman" w:hAnsi="Times New Roman" w:eastAsia="宋体"/>
        </w:rPr>
        <w:t>Offset (x,y,z)</w:t>
      </w:r>
      <w:r>
        <w:rPr>
          <w:rFonts w:hint="eastAsia" w:ascii="Times New Roman" w:hAnsi="Times New Roman" w:eastAsia="宋体"/>
        </w:rPr>
        <w:t>、用户自定义默认视角、固定以及移动摄像机、在车内随着车体一起移动。</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软件场景应提供动画场景数据保存功能，动画场景能够根据保存的动画场景数据进行实时渲染，能够保证复现车辆运行的状态，更好的帮助用户发现算法试验中的问题。</w:t>
      </w:r>
    </w:p>
    <w:p>
      <w:pPr>
        <w:numPr>
          <w:ilvl w:val="1"/>
          <w:numId w:val="0"/>
        </w:numPr>
        <w:tabs>
          <w:tab w:val="left" w:pos="454"/>
        </w:tabs>
        <w:spacing w:line="360" w:lineRule="auto"/>
        <w:outlineLvl w:val="4"/>
        <w:rPr>
          <w:rFonts w:ascii="Times New Roman" w:hAnsi="Times New Roman" w:eastAsia="宋体" w:cs="Times New Roman"/>
          <w:sz w:val="24"/>
          <w:szCs w:val="24"/>
        </w:rPr>
      </w:pPr>
      <w:bookmarkStart w:id="70" w:name="_Toc152279011"/>
      <w:r>
        <w:rPr>
          <w:rFonts w:hint="eastAsia" w:ascii="Times New Roman" w:hAnsi="Times New Roman" w:eastAsia="宋体" w:cs="Times New Roman"/>
          <w:sz w:val="24"/>
          <w:szCs w:val="24"/>
        </w:rPr>
        <w:t>4.5.4道路编辑器要求</w:t>
      </w:r>
      <w:bookmarkEnd w:id="70"/>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软件的道路编辑系统应基于OpenDrive或其他系统开发，并根据中国实际交通情况以及智能驾驶对高精地图的实际需求做适应性调整。用户应可以自己根据测试需求绘制道路，也可以直接导入OpenDrive地图。</w:t>
      </w:r>
    </w:p>
    <w:p>
      <w:pPr>
        <w:pStyle w:val="145"/>
        <w:numPr>
          <w:ilvl w:val="1"/>
          <w:numId w:val="0"/>
        </w:numPr>
        <w:spacing w:line="360" w:lineRule="auto"/>
        <w:ind w:firstLine="480" w:firstLineChars="200"/>
        <w:rPr>
          <w:rFonts w:ascii="Times New Roman" w:hAnsi="Times New Roman" w:eastAsia="宋体"/>
        </w:rPr>
      </w:pPr>
      <w:r>
        <w:rPr>
          <w:rFonts w:hint="eastAsia" w:ascii="Times New Roman" w:hAnsi="Times New Roman" w:eastAsia="宋体"/>
        </w:rPr>
        <w:t>地图编辑器应具备如下特性：</w:t>
      </w:r>
    </w:p>
    <w:p>
      <w:pPr>
        <w:pStyle w:val="149"/>
        <w:numPr>
          <w:ilvl w:val="0"/>
          <w:numId w:val="0"/>
        </w:numPr>
        <w:spacing w:line="360" w:lineRule="auto"/>
        <w:ind w:firstLine="480" w:firstLineChars="200"/>
      </w:pPr>
      <w:r>
        <w:rPr>
          <w:rFonts w:hint="eastAsia"/>
        </w:rPr>
        <w:t>1）易于掌握及结构布置规范的GUI；</w:t>
      </w:r>
    </w:p>
    <w:p>
      <w:pPr>
        <w:pStyle w:val="149"/>
        <w:numPr>
          <w:ilvl w:val="0"/>
          <w:numId w:val="0"/>
        </w:numPr>
        <w:spacing w:line="360" w:lineRule="auto"/>
        <w:ind w:firstLine="480" w:firstLineChars="200"/>
      </w:pPr>
      <w:r>
        <w:rPr>
          <w:rFonts w:hint="eastAsia"/>
        </w:rPr>
        <w:t>2）基于</w:t>
      </w:r>
      <w:r>
        <w:t>OpenDrive</w:t>
      </w:r>
      <w:r>
        <w:rPr>
          <w:rFonts w:hint="eastAsia"/>
        </w:rPr>
        <w:t>标准；</w:t>
      </w:r>
    </w:p>
    <w:p>
      <w:pPr>
        <w:pStyle w:val="149"/>
        <w:numPr>
          <w:ilvl w:val="0"/>
          <w:numId w:val="0"/>
        </w:numPr>
        <w:spacing w:line="360" w:lineRule="auto"/>
        <w:ind w:firstLine="480" w:firstLineChars="200"/>
      </w:pPr>
      <w:r>
        <w:rPr>
          <w:rFonts w:hint="eastAsia"/>
        </w:rPr>
        <w:t>3）可以导入OpenDrive文件并且在二维平面显示，可以显示车道线、车道、交通苦口、交通标志等信息、道路高程等信息；</w:t>
      </w:r>
    </w:p>
    <w:p>
      <w:pPr>
        <w:pStyle w:val="149"/>
        <w:numPr>
          <w:ilvl w:val="0"/>
          <w:numId w:val="0"/>
        </w:numPr>
        <w:spacing w:line="360" w:lineRule="auto"/>
        <w:ind w:firstLine="480" w:firstLineChars="200"/>
      </w:pPr>
      <w:r>
        <w:rPr>
          <w:rFonts w:hint="eastAsia"/>
        </w:rPr>
        <w:t>4）可以通过鼠标滚轮实现地图的放大、缩小、平移；</w:t>
      </w:r>
    </w:p>
    <w:p>
      <w:pPr>
        <w:pStyle w:val="149"/>
        <w:numPr>
          <w:ilvl w:val="0"/>
          <w:numId w:val="0"/>
        </w:numPr>
        <w:spacing w:line="360" w:lineRule="auto"/>
        <w:ind w:firstLine="480" w:firstLineChars="200"/>
      </w:pPr>
      <w:r>
        <w:rPr>
          <w:rFonts w:hint="eastAsia"/>
        </w:rPr>
        <w:t>5）通过鼠标点击创建道路，包括直线、圆弧、三次样条形状道路；</w:t>
      </w:r>
    </w:p>
    <w:p>
      <w:pPr>
        <w:pStyle w:val="149"/>
        <w:numPr>
          <w:ilvl w:val="0"/>
          <w:numId w:val="0"/>
        </w:numPr>
        <w:spacing w:line="360" w:lineRule="auto"/>
        <w:ind w:firstLine="480" w:firstLineChars="200"/>
      </w:pPr>
      <w:r>
        <w:rPr>
          <w:rFonts w:hint="eastAsia"/>
        </w:rPr>
        <w:t>6）可以在已有道路的终点添加geometry，包括直线、圆弧、三次样条；</w:t>
      </w:r>
    </w:p>
    <w:p>
      <w:pPr>
        <w:pStyle w:val="149"/>
        <w:numPr>
          <w:ilvl w:val="0"/>
          <w:numId w:val="0"/>
        </w:numPr>
        <w:spacing w:line="360" w:lineRule="auto"/>
        <w:ind w:firstLine="480" w:firstLineChars="200"/>
      </w:pPr>
      <w:r>
        <w:rPr>
          <w:rFonts w:hint="eastAsia"/>
        </w:rPr>
        <w:t>7）可以平滑连接两条道路，连接道路线型包括直线、圆弧、三次样条、螺旋曲线；</w:t>
      </w:r>
    </w:p>
    <w:p>
      <w:pPr>
        <w:pStyle w:val="149"/>
        <w:numPr>
          <w:ilvl w:val="0"/>
          <w:numId w:val="0"/>
        </w:numPr>
        <w:spacing w:line="360" w:lineRule="auto"/>
        <w:ind w:firstLine="480" w:firstLineChars="200"/>
      </w:pPr>
      <w:r>
        <w:rPr>
          <w:rFonts w:hint="eastAsia"/>
        </w:rPr>
        <w:t>8）可以在道路上添加交通信号、交通物体、隧道、桥梁等；</w:t>
      </w:r>
    </w:p>
    <w:p>
      <w:pPr>
        <w:pStyle w:val="149"/>
        <w:numPr>
          <w:ilvl w:val="0"/>
          <w:numId w:val="0"/>
        </w:numPr>
        <w:spacing w:line="360" w:lineRule="auto"/>
        <w:ind w:firstLine="480" w:firstLineChars="200"/>
      </w:pPr>
      <w:r>
        <w:rPr>
          <w:rFonts w:hint="eastAsia"/>
        </w:rPr>
        <w:t>9）可以任意创建交通路口，添加输入输出道路，并对输入输出道路之间的连接关系进行设置；</w:t>
      </w:r>
    </w:p>
    <w:p>
      <w:pPr>
        <w:pStyle w:val="149"/>
        <w:numPr>
          <w:ilvl w:val="0"/>
          <w:numId w:val="0"/>
        </w:numPr>
        <w:spacing w:line="360" w:lineRule="auto"/>
        <w:ind w:firstLine="480" w:firstLineChars="200"/>
      </w:pPr>
      <w:r>
        <w:rPr>
          <w:rFonts w:hint="eastAsia"/>
        </w:rPr>
        <w:t>10）选中某一条路，可以查看道路参数并进行修改，道路参数维度包含track、type、elevation、superelevation、crossfall、lane、signal；</w:t>
      </w:r>
    </w:p>
    <w:p>
      <w:pPr>
        <w:pStyle w:val="149"/>
        <w:numPr>
          <w:ilvl w:val="0"/>
          <w:numId w:val="0"/>
        </w:numPr>
        <w:spacing w:line="360" w:lineRule="auto"/>
        <w:ind w:firstLine="480" w:firstLineChars="200"/>
      </w:pPr>
      <w:r>
        <w:rPr>
          <w:rFonts w:hint="eastAsia"/>
        </w:rPr>
        <w:t>11）选中某一个交通路口，可以查看交通路口的连接关系并进行修改；</w:t>
      </w:r>
    </w:p>
    <w:p>
      <w:pPr>
        <w:pStyle w:val="149"/>
        <w:numPr>
          <w:ilvl w:val="0"/>
          <w:numId w:val="0"/>
        </w:numPr>
        <w:spacing w:line="360" w:lineRule="auto"/>
        <w:ind w:firstLine="480" w:firstLineChars="200"/>
      </w:pPr>
      <w:r>
        <w:rPr>
          <w:rFonts w:hint="eastAsia"/>
        </w:rPr>
        <w:t>12）具备撤销回退功能；</w:t>
      </w:r>
    </w:p>
    <w:p>
      <w:pPr>
        <w:pStyle w:val="149"/>
        <w:numPr>
          <w:ilvl w:val="0"/>
          <w:numId w:val="0"/>
        </w:numPr>
        <w:spacing w:line="360" w:lineRule="auto"/>
        <w:ind w:firstLine="480" w:firstLineChars="200"/>
      </w:pPr>
      <w:r>
        <w:rPr>
          <w:rFonts w:hint="eastAsia"/>
        </w:rPr>
        <w:t>13）可以对编辑好的道路进行3D预览；</w:t>
      </w:r>
    </w:p>
    <w:p>
      <w:pPr>
        <w:pStyle w:val="149"/>
        <w:numPr>
          <w:ilvl w:val="0"/>
          <w:numId w:val="0"/>
        </w:numPr>
        <w:spacing w:line="360" w:lineRule="auto"/>
        <w:ind w:firstLine="480" w:firstLineChars="200"/>
      </w:pPr>
      <w:r>
        <w:rPr>
          <w:rFonts w:hint="eastAsia"/>
        </w:rPr>
        <w:t>14）用户可导入自定义交通标志；</w:t>
      </w:r>
    </w:p>
    <w:p>
      <w:pPr>
        <w:pStyle w:val="149"/>
        <w:numPr>
          <w:ilvl w:val="0"/>
          <w:numId w:val="0"/>
        </w:numPr>
        <w:spacing w:line="360" w:lineRule="auto"/>
        <w:ind w:firstLine="480" w:firstLineChars="200"/>
      </w:pPr>
      <w:r>
        <w:rPr>
          <w:rFonts w:hint="eastAsia"/>
        </w:rPr>
        <w:t>15）用户可导入自定义道路模板。</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4.6其他模型要求</w:t>
      </w:r>
    </w:p>
    <w:p>
      <w:pPr>
        <w:pStyle w:val="151"/>
        <w:numPr>
          <w:ilvl w:val="0"/>
          <w:numId w:val="0"/>
        </w:numPr>
        <w:ind w:left="709" w:hanging="709"/>
        <w:outlineLvl w:val="4"/>
      </w:pPr>
      <w:r>
        <w:rPr>
          <w:rFonts w:hint="eastAsia"/>
        </w:rPr>
        <w:t>4.6.1气压模型要求</w:t>
      </w:r>
    </w:p>
    <w:p>
      <w:pPr>
        <w:pStyle w:val="149"/>
        <w:numPr>
          <w:ilvl w:val="0"/>
          <w:numId w:val="0"/>
        </w:numPr>
        <w:spacing w:line="360" w:lineRule="auto"/>
        <w:ind w:firstLine="480" w:firstLineChars="200"/>
      </w:pPr>
      <w:r>
        <w:rPr>
          <w:rFonts w:hint="eastAsia"/>
        </w:rPr>
        <w:t>1）应包含阀模型、管路模型、轮腔模型；</w:t>
      </w:r>
    </w:p>
    <w:p>
      <w:pPr>
        <w:pStyle w:val="149"/>
        <w:numPr>
          <w:ilvl w:val="0"/>
          <w:numId w:val="0"/>
        </w:numPr>
        <w:spacing w:line="360" w:lineRule="auto"/>
        <w:ind w:firstLine="480" w:firstLineChars="200"/>
      </w:pPr>
      <w:r>
        <w:rPr>
          <w:rFonts w:hint="eastAsia"/>
        </w:rPr>
        <w:t>2）模型参数可以在线配置；</w:t>
      </w:r>
    </w:p>
    <w:p>
      <w:pPr>
        <w:pStyle w:val="149"/>
        <w:numPr>
          <w:ilvl w:val="0"/>
          <w:numId w:val="0"/>
        </w:numPr>
        <w:spacing w:line="360" w:lineRule="auto"/>
        <w:ind w:firstLine="480" w:firstLineChars="200"/>
      </w:pPr>
      <w:r>
        <w:rPr>
          <w:rFonts w:hint="eastAsia"/>
        </w:rPr>
        <w:t>3）能够反映不同管路长度对建压响应时间的影响；</w:t>
      </w:r>
    </w:p>
    <w:p>
      <w:pPr>
        <w:pStyle w:val="149"/>
        <w:numPr>
          <w:ilvl w:val="0"/>
          <w:numId w:val="0"/>
        </w:numPr>
        <w:spacing w:line="360" w:lineRule="auto"/>
        <w:ind w:firstLine="480" w:firstLineChars="200"/>
      </w:pPr>
      <w:r>
        <w:rPr>
          <w:rFonts w:hint="eastAsia"/>
        </w:rPr>
        <w:t>4）能够匹配不同的轮腔容积；</w:t>
      </w:r>
    </w:p>
    <w:p>
      <w:pPr>
        <w:pStyle w:val="149"/>
        <w:numPr>
          <w:ilvl w:val="0"/>
          <w:numId w:val="0"/>
        </w:numPr>
        <w:spacing w:line="360" w:lineRule="auto"/>
        <w:ind w:firstLine="480" w:firstLineChars="200"/>
      </w:pPr>
      <w:r>
        <w:rPr>
          <w:rFonts w:hint="eastAsia"/>
        </w:rPr>
        <w:t>5）支持适应不同的气路结构。</w:t>
      </w:r>
    </w:p>
    <w:p>
      <w:pPr>
        <w:pStyle w:val="151"/>
        <w:numPr>
          <w:ilvl w:val="0"/>
          <w:numId w:val="0"/>
        </w:numPr>
        <w:ind w:left="709" w:hanging="709"/>
        <w:outlineLvl w:val="4"/>
      </w:pPr>
      <w:r>
        <w:rPr>
          <w:rFonts w:hint="eastAsia"/>
        </w:rPr>
        <w:t>4.6.2空气悬架模型要求</w:t>
      </w:r>
    </w:p>
    <w:p>
      <w:pPr>
        <w:pStyle w:val="149"/>
        <w:numPr>
          <w:ilvl w:val="0"/>
          <w:numId w:val="0"/>
        </w:numPr>
        <w:spacing w:line="360" w:lineRule="auto"/>
        <w:ind w:firstLine="480" w:firstLineChars="200"/>
      </w:pPr>
      <w:r>
        <w:rPr>
          <w:rFonts w:hint="eastAsia"/>
        </w:rPr>
        <w:t>1）支持适应不同的悬架气路结构；</w:t>
      </w:r>
    </w:p>
    <w:p>
      <w:pPr>
        <w:pStyle w:val="149"/>
        <w:numPr>
          <w:ilvl w:val="0"/>
          <w:numId w:val="0"/>
        </w:numPr>
        <w:spacing w:line="360" w:lineRule="auto"/>
        <w:ind w:firstLine="480" w:firstLineChars="200"/>
      </w:pPr>
      <w:r>
        <w:rPr>
          <w:rFonts w:hint="eastAsia"/>
        </w:rPr>
        <w:t>2）应包含阀模型、管路模型、气囊模型；</w:t>
      </w:r>
    </w:p>
    <w:p>
      <w:pPr>
        <w:pStyle w:val="149"/>
        <w:numPr>
          <w:ilvl w:val="0"/>
          <w:numId w:val="0"/>
        </w:numPr>
        <w:spacing w:line="360" w:lineRule="auto"/>
        <w:ind w:firstLine="480" w:firstLineChars="200"/>
      </w:pPr>
      <w:r>
        <w:rPr>
          <w:rFonts w:hint="eastAsia"/>
        </w:rPr>
        <w:t>3）模型参数可以在线配置；</w:t>
      </w:r>
    </w:p>
    <w:p>
      <w:pPr>
        <w:pStyle w:val="149"/>
        <w:numPr>
          <w:ilvl w:val="0"/>
          <w:numId w:val="0"/>
        </w:numPr>
        <w:spacing w:line="360" w:lineRule="auto"/>
        <w:ind w:firstLine="480" w:firstLineChars="200"/>
      </w:pPr>
      <w:r>
        <w:rPr>
          <w:rFonts w:hint="eastAsia"/>
        </w:rPr>
        <w:t>4）能够反映不同管路长度对建压响应时间的影响；</w:t>
      </w:r>
    </w:p>
    <w:p>
      <w:pPr>
        <w:pStyle w:val="149"/>
        <w:numPr>
          <w:ilvl w:val="0"/>
          <w:numId w:val="0"/>
        </w:numPr>
        <w:spacing w:line="360" w:lineRule="auto"/>
        <w:ind w:firstLine="480" w:firstLineChars="200"/>
      </w:pPr>
      <w:r>
        <w:rPr>
          <w:rFonts w:hint="eastAsia"/>
        </w:rPr>
        <w:t>5）能够匹配不同的气囊容积。</w:t>
      </w:r>
    </w:p>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5 其他设备要求</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5.1上位机电脑要求</w:t>
      </w:r>
    </w:p>
    <w:p>
      <w:pPr>
        <w:spacing w:line="360" w:lineRule="auto"/>
        <w:ind w:firstLine="480" w:firstLineChars="200"/>
        <w:outlineLvl w:val="2"/>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rPr>
        <w:tab/>
      </w:r>
      <w:r>
        <w:rPr>
          <w:rFonts w:hint="eastAsia" w:ascii="宋体" w:hAnsi="宋体" w:eastAsia="宋体" w:cs="宋体"/>
          <w:color w:val="000000"/>
          <w:sz w:val="24"/>
          <w:szCs w:val="24"/>
          <w:lang w:val="en-US" w:eastAsia="zh-CN"/>
        </w:rPr>
        <w:t xml:space="preserve">Ultra </w:t>
      </w: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 xml:space="preserve"> 255HX</w:t>
      </w:r>
      <w:r>
        <w:rPr>
          <w:rFonts w:hint="eastAsia" w:ascii="宋体" w:hAnsi="宋体" w:eastAsia="宋体" w:cs="宋体"/>
          <w:color w:val="000000"/>
          <w:sz w:val="24"/>
          <w:szCs w:val="24"/>
        </w:rPr>
        <w:t>以上处理器；</w:t>
      </w:r>
    </w:p>
    <w:p>
      <w:pPr>
        <w:spacing w:line="360" w:lineRule="auto"/>
        <w:ind w:firstLine="480" w:firstLineChars="200"/>
        <w:outlineLvl w:val="2"/>
        <w:rPr>
          <w:rFonts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rPr>
        <w:tab/>
      </w:r>
      <w:r>
        <w:rPr>
          <w:rFonts w:hint="eastAsia" w:ascii="宋体" w:hAnsi="宋体" w:eastAsia="宋体" w:cs="宋体"/>
          <w:color w:val="000000"/>
          <w:sz w:val="24"/>
          <w:szCs w:val="24"/>
        </w:rPr>
        <w:t>500G以上固态硬盘；</w:t>
      </w:r>
    </w:p>
    <w:p>
      <w:pPr>
        <w:spacing w:line="360" w:lineRule="auto"/>
        <w:ind w:firstLine="480" w:firstLineChars="200"/>
        <w:outlineLvl w:val="2"/>
        <w:rPr>
          <w:rFonts w:ascii="宋体" w:hAnsi="宋体" w:eastAsia="宋体" w:cs="宋体"/>
          <w:color w:val="000000"/>
          <w:sz w:val="24"/>
          <w:szCs w:val="24"/>
        </w:rPr>
      </w:pPr>
      <w:r>
        <w:rPr>
          <w:rFonts w:hint="eastAsia" w:ascii="宋体" w:hAnsi="宋体" w:eastAsia="宋体" w:cs="宋体"/>
          <w:color w:val="000000"/>
          <w:sz w:val="24"/>
          <w:szCs w:val="24"/>
        </w:rPr>
        <w:t>3）14寸及以上显示屏；</w:t>
      </w:r>
    </w:p>
    <w:p>
      <w:pPr>
        <w:spacing w:line="360" w:lineRule="auto"/>
        <w:ind w:firstLine="480" w:firstLineChars="200"/>
        <w:outlineLvl w:val="2"/>
        <w:rPr>
          <w:rFonts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rPr>
        <w:tab/>
      </w:r>
      <w:r>
        <w:rPr>
          <w:rFonts w:hint="eastAsia" w:ascii="宋体" w:hAnsi="宋体" w:eastAsia="宋体" w:cs="宋体"/>
          <w:color w:val="000000"/>
          <w:sz w:val="24"/>
          <w:szCs w:val="24"/>
        </w:rPr>
        <w:t>16G以上内存；</w:t>
      </w:r>
    </w:p>
    <w:p>
      <w:pPr>
        <w:spacing w:line="360" w:lineRule="auto"/>
        <w:ind w:firstLine="480" w:firstLineChars="200"/>
        <w:outlineLvl w:val="2"/>
        <w:rPr>
          <w:rFonts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rPr>
        <w:tab/>
      </w:r>
      <w:r>
        <w:rPr>
          <w:rFonts w:hint="eastAsia" w:ascii="宋体" w:hAnsi="宋体" w:eastAsia="宋体" w:cs="宋体"/>
          <w:color w:val="000000"/>
          <w:sz w:val="24"/>
          <w:szCs w:val="24"/>
        </w:rPr>
        <w:t>配置至少一块独立显卡，性能不低于GTX 1060；</w:t>
      </w:r>
    </w:p>
    <w:p>
      <w:pPr>
        <w:spacing w:line="360" w:lineRule="auto"/>
        <w:ind w:firstLine="480" w:firstLineChars="200"/>
        <w:outlineLvl w:val="2"/>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6）六台笔记本电脑</w:t>
      </w:r>
      <w:r>
        <w:rPr>
          <w:rFonts w:hint="eastAsia" w:ascii="宋体" w:hAnsi="宋体" w:eastAsia="宋体" w:cs="宋体"/>
          <w:color w:val="000000"/>
          <w:sz w:val="24"/>
          <w:szCs w:val="24"/>
          <w:lang w:eastAsia="zh-CN"/>
        </w:rPr>
        <w:t>；</w:t>
      </w:r>
    </w:p>
    <w:p>
      <w:pPr>
        <w:spacing w:line="360" w:lineRule="auto"/>
        <w:ind w:firstLine="480" w:firstLineChars="200"/>
        <w:outlineLvl w:val="2"/>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7）六台外设27寸及以上显示屏。</w:t>
      </w:r>
    </w:p>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6交钥匙工程服务要求</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6.1硬件系统设计和开发集成</w:t>
      </w:r>
    </w:p>
    <w:p>
      <w:pPr>
        <w:spacing w:line="300" w:lineRule="auto"/>
        <w:ind w:firstLine="480" w:firstLineChars="200"/>
        <w:rPr>
          <w:rFonts w:ascii="Times New Roman" w:hAnsi="Times New Roman" w:eastAsia="宋体"/>
          <w:sz w:val="24"/>
          <w:szCs w:val="24"/>
        </w:rPr>
      </w:pPr>
      <w:bookmarkStart w:id="71" w:name="_Hlk117626123"/>
      <w:r>
        <w:rPr>
          <w:rFonts w:hint="eastAsia" w:ascii="Times New Roman" w:hAnsi="Times New Roman" w:eastAsia="宋体"/>
          <w:sz w:val="24"/>
          <w:szCs w:val="24"/>
        </w:rPr>
        <w:t>中标方应根据招标方提供的待测控制器信息，合理的分配HIL系统的硬件资源，以此设计出HIL系统信号列表，并基于信号列表完成整个硬件系统的集成。</w:t>
      </w:r>
    </w:p>
    <w:p>
      <w:pPr>
        <w:spacing w:line="360" w:lineRule="auto"/>
        <w:outlineLvl w:val="3"/>
        <w:rPr>
          <w:rFonts w:ascii="Times New Roman" w:hAnsi="Times New Roman" w:eastAsia="宋体" w:cs="Times New Roman"/>
          <w:b/>
          <w:bCs/>
          <w:sz w:val="24"/>
          <w:szCs w:val="24"/>
        </w:rPr>
      </w:pPr>
      <w:bookmarkStart w:id="72" w:name="_Toc30687"/>
      <w:r>
        <w:rPr>
          <w:rFonts w:hint="eastAsia" w:ascii="Times New Roman" w:hAnsi="Times New Roman" w:eastAsia="宋体" w:cs="Times New Roman"/>
          <w:b/>
          <w:bCs/>
          <w:sz w:val="24"/>
          <w:szCs w:val="24"/>
        </w:rPr>
        <w:t>6.2  I/O模型开发和配置</w:t>
      </w:r>
      <w:bookmarkEnd w:id="72"/>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上位机I/O模型的开发实现对HIL系统I/O进行准确的配置，开发后的I/O模型应符合下述要求：</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准确实现模型输入、输出与实际物理信号的映射关系；</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准确实现每个物理信号与电信号的对应关系（传感器、执行器）；</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设置信号标签以便于信号跟踪；</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对测试的重点信号设置手动输入开关，可在虚拟操作界面中选择手动输入功能。</w:t>
      </w:r>
    </w:p>
    <w:p>
      <w:pPr>
        <w:spacing w:line="360" w:lineRule="auto"/>
        <w:outlineLvl w:val="3"/>
        <w:rPr>
          <w:rFonts w:ascii="Times New Roman" w:hAnsi="Times New Roman" w:eastAsia="宋体" w:cs="Times New Roman"/>
          <w:b/>
          <w:bCs/>
          <w:sz w:val="24"/>
          <w:szCs w:val="24"/>
        </w:rPr>
      </w:pPr>
      <w:bookmarkStart w:id="73" w:name="_Toc25005"/>
      <w:r>
        <w:rPr>
          <w:rFonts w:hint="eastAsia" w:ascii="Times New Roman" w:hAnsi="Times New Roman" w:eastAsia="宋体" w:cs="Times New Roman"/>
          <w:b/>
          <w:bCs/>
          <w:sz w:val="24"/>
          <w:szCs w:val="24"/>
        </w:rPr>
        <w:t>6.3 车辆模型定制和参数化</w:t>
      </w:r>
      <w:bookmarkEnd w:id="73"/>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中标方根据招标方提供车型的结构，基于车辆标准模型库对车辆各子系统模型进行定制开发，并根据招标方提供的车辆数据对模型进行参数化，使模型可以反映车辆的特性和功能，以满足控制器的测试需求。</w:t>
      </w:r>
    </w:p>
    <w:p>
      <w:pPr>
        <w:spacing w:line="360" w:lineRule="auto"/>
        <w:outlineLvl w:val="3"/>
        <w:rPr>
          <w:rFonts w:ascii="Times New Roman" w:hAnsi="Times New Roman" w:eastAsia="宋体" w:cs="Times New Roman"/>
          <w:b/>
          <w:bCs/>
          <w:sz w:val="24"/>
          <w:szCs w:val="24"/>
        </w:rPr>
      </w:pPr>
      <w:bookmarkStart w:id="74" w:name="_Toc29246"/>
      <w:bookmarkStart w:id="75" w:name="_Toc504663872"/>
      <w:r>
        <w:rPr>
          <w:rFonts w:hint="eastAsia" w:ascii="Times New Roman" w:hAnsi="Times New Roman" w:eastAsia="宋体" w:cs="Times New Roman"/>
          <w:b/>
          <w:bCs/>
          <w:sz w:val="24"/>
          <w:szCs w:val="24"/>
        </w:rPr>
        <w:t>6.4 虚拟控制节点模型开发</w:t>
      </w:r>
      <w:bookmarkEnd w:id="74"/>
      <w:bookmarkEnd w:id="75"/>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对于与待测控制器功能相关的控制节点，中标方应开发相应的虚拟节点模型，实现与待测控制器的交互功能仿真，通过通信板卡发送待测控制器所需的通信报文，满足待测控制器的子系统HIL闭环测试的需要。</w:t>
      </w:r>
    </w:p>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6.5 试验监控界面开发</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投标方基于HIL上位机软件开发具备人机交互功能的试验监控界面，试验监控界面至少包括：</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虚拟驾驶操作界面，允许用户实现基本的驾驶员输入，包括加速踏板、制动踏板、点火钥匙、开关输入等；</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整车模型状态显示和重要参数修改界面；</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传感器状态监控界面，可完成手动信号和模型信号的切换；</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执行机构状态监控界面；</w:t>
      </w:r>
    </w:p>
    <w:p>
      <w:pPr>
        <w:spacing w:line="300" w:lineRule="auto"/>
        <w:ind w:firstLine="480" w:firstLineChars="200"/>
        <w:rPr>
          <w:rFonts w:ascii="Times New Roman" w:hAnsi="Times New Roman" w:eastAsia="宋体"/>
          <w:sz w:val="24"/>
          <w:szCs w:val="24"/>
        </w:rPr>
      </w:pPr>
      <w:r>
        <w:rPr>
          <w:rFonts w:hint="eastAsia" w:ascii="Times New Roman" w:hAnsi="Times New Roman" w:eastAsia="宋体"/>
          <w:sz w:val="24"/>
          <w:szCs w:val="24"/>
        </w:rPr>
        <w:t>CAN报文显示和监控界面。</w:t>
      </w:r>
    </w:p>
    <w:p>
      <w:pPr>
        <w:spacing w:line="360" w:lineRule="auto"/>
        <w:outlineLvl w:val="3"/>
        <w:rPr>
          <w:rFonts w:ascii="Times New Roman" w:hAnsi="Times New Roman" w:eastAsia="宋体" w:cs="Times New Roman"/>
          <w:b/>
          <w:bCs/>
          <w:sz w:val="24"/>
          <w:szCs w:val="24"/>
        </w:rPr>
      </w:pPr>
      <w:bookmarkStart w:id="76" w:name="_Toc22994"/>
      <w:bookmarkStart w:id="77" w:name="_Toc504663875"/>
      <w:r>
        <w:rPr>
          <w:rFonts w:hint="eastAsia" w:ascii="Times New Roman" w:hAnsi="Times New Roman" w:eastAsia="宋体" w:cs="Times New Roman"/>
          <w:b/>
          <w:bCs/>
          <w:sz w:val="24"/>
          <w:szCs w:val="24"/>
        </w:rPr>
        <w:t>6.6 系统集成调试</w:t>
      </w:r>
      <w:bookmarkEnd w:id="76"/>
      <w:bookmarkEnd w:id="77"/>
    </w:p>
    <w:p>
      <w:pPr>
        <w:spacing w:line="300" w:lineRule="auto"/>
        <w:ind w:firstLine="480" w:firstLineChars="200"/>
      </w:pPr>
      <w:r>
        <w:rPr>
          <w:rFonts w:hint="eastAsia" w:ascii="Times New Roman" w:hAnsi="Times New Roman" w:eastAsia="宋体"/>
          <w:sz w:val="24"/>
          <w:szCs w:val="24"/>
        </w:rPr>
        <w:t>中标方应将待测控制器与HIL测试系统进行集成并进行调试使之达到终验收中的闭环测试工况要求。</w:t>
      </w:r>
    </w:p>
    <w:bookmarkEnd w:id="71"/>
    <w:p>
      <w:pPr>
        <w:spacing w:line="360" w:lineRule="auto"/>
        <w:outlineLvl w:val="3"/>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6.7系统培训</w:t>
      </w:r>
    </w:p>
    <w:p>
      <w:pPr>
        <w:spacing w:line="30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中标方应提供相关培训使得招标方技术人员能理解和掌握系统各部分的原理和结构，达到正确使用和操作，并独立完成各项实验及维修工作。</w:t>
      </w:r>
    </w:p>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7技术培训要求</w:t>
      </w:r>
    </w:p>
    <w:p>
      <w:pPr>
        <w:spacing w:line="30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为了使得设备使用方能够正确使用和操作本设备，</w:t>
      </w:r>
      <w:r>
        <w:rPr>
          <w:rFonts w:hint="eastAsia" w:ascii="Times New Roman" w:hAnsi="Times New Roman" w:eastAsia="宋体" w:cs="Times New Roman"/>
          <w:sz w:val="24"/>
          <w:szCs w:val="24"/>
          <w:highlight w:val="yellow"/>
        </w:rPr>
        <w:t>中标方需提供不少于</w:t>
      </w:r>
      <w:r>
        <w:rPr>
          <w:rFonts w:ascii="Times New Roman" w:hAnsi="Times New Roman" w:eastAsia="宋体" w:cs="Times New Roman"/>
          <w:sz w:val="24"/>
          <w:szCs w:val="24"/>
          <w:highlight w:val="yellow"/>
        </w:rPr>
        <w:t>5</w:t>
      </w:r>
      <w:r>
        <w:rPr>
          <w:rFonts w:hint="eastAsia" w:ascii="Times New Roman" w:hAnsi="Times New Roman" w:eastAsia="宋体" w:cs="Times New Roman"/>
          <w:sz w:val="24"/>
          <w:szCs w:val="24"/>
          <w:highlight w:val="yellow"/>
        </w:rPr>
        <w:t>天的技术</w:t>
      </w:r>
      <w:r>
        <w:rPr>
          <w:rFonts w:hint="eastAsia" w:ascii="Times New Roman" w:hAnsi="Times New Roman" w:eastAsia="宋体" w:cs="Times New Roman"/>
          <w:sz w:val="24"/>
          <w:szCs w:val="24"/>
        </w:rPr>
        <w:t>培训，至少包括如下培训内容：</w:t>
      </w:r>
    </w:p>
    <w:tbl>
      <w:tblPr>
        <w:tblStyle w:val="1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13"/>
        <w:gridCol w:w="5245"/>
        <w:gridCol w:w="16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tcPr>
          <w:p>
            <w:pPr>
              <w:spacing w:line="300" w:lineRule="auto"/>
              <w:jc w:val="center"/>
              <w:rPr>
                <w:rFonts w:ascii="Times New Roman" w:hAnsi="Times New Roman" w:eastAsia="黑体" w:cs="Times New Roman"/>
                <w:kern w:val="0"/>
                <w:sz w:val="24"/>
                <w:szCs w:val="20"/>
              </w:rPr>
            </w:pPr>
            <w:r>
              <w:rPr>
                <w:rFonts w:hint="eastAsia" w:ascii="Times New Roman" w:hAnsi="Times New Roman" w:eastAsia="黑体" w:cs="Times New Roman"/>
                <w:kern w:val="0"/>
                <w:sz w:val="24"/>
                <w:szCs w:val="20"/>
              </w:rPr>
              <w:t>项目</w:t>
            </w:r>
          </w:p>
        </w:tc>
        <w:tc>
          <w:tcPr>
            <w:tcW w:w="5245" w:type="dxa"/>
          </w:tcPr>
          <w:p>
            <w:pPr>
              <w:spacing w:line="300" w:lineRule="auto"/>
              <w:jc w:val="center"/>
              <w:rPr>
                <w:rFonts w:ascii="Times New Roman" w:hAnsi="Times New Roman" w:eastAsia="黑体" w:cs="Times New Roman"/>
                <w:kern w:val="0"/>
                <w:sz w:val="24"/>
                <w:szCs w:val="20"/>
              </w:rPr>
            </w:pPr>
            <w:r>
              <w:rPr>
                <w:rFonts w:hint="eastAsia" w:ascii="Times New Roman" w:hAnsi="Times New Roman" w:eastAsia="黑体" w:cs="Times New Roman"/>
                <w:kern w:val="0"/>
                <w:sz w:val="24"/>
                <w:szCs w:val="20"/>
              </w:rPr>
              <w:t>培训目标</w:t>
            </w:r>
          </w:p>
        </w:tc>
        <w:tc>
          <w:tcPr>
            <w:tcW w:w="1638" w:type="dxa"/>
          </w:tcPr>
          <w:p>
            <w:pPr>
              <w:spacing w:line="300" w:lineRule="auto"/>
              <w:jc w:val="center"/>
              <w:rPr>
                <w:rFonts w:ascii="Times New Roman" w:hAnsi="Times New Roman" w:eastAsia="黑体" w:cs="Times New Roman"/>
                <w:kern w:val="0"/>
                <w:sz w:val="24"/>
                <w:szCs w:val="20"/>
              </w:rPr>
            </w:pPr>
            <w:r>
              <w:rPr>
                <w:rFonts w:hint="eastAsia" w:ascii="Times New Roman" w:hAnsi="Times New Roman" w:eastAsia="黑体" w:cs="Times New Roman"/>
                <w:kern w:val="0"/>
                <w:sz w:val="24"/>
                <w:szCs w:val="20"/>
              </w:rPr>
              <w:t>培训时间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pPr>
              <w:spacing w:line="300" w:lineRule="auto"/>
              <w:rPr>
                <w:rFonts w:ascii="Times New Roman" w:hAnsi="Times New Roman" w:eastAsia="宋体" w:cs="Times New Roman"/>
                <w:kern w:val="0"/>
                <w:szCs w:val="20"/>
              </w:rPr>
            </w:pPr>
            <w:r>
              <w:rPr>
                <w:rFonts w:hint="eastAsia" w:ascii="Times New Roman" w:hAnsi="Times New Roman" w:eastAsia="宋体" w:cs="Times New Roman"/>
                <w:kern w:val="0"/>
                <w:szCs w:val="20"/>
              </w:rPr>
              <w:t>硬件培训</w:t>
            </w:r>
          </w:p>
        </w:tc>
        <w:tc>
          <w:tcPr>
            <w:tcW w:w="5245" w:type="dxa"/>
          </w:tcPr>
          <w:p>
            <w:pPr>
              <w:spacing w:line="300" w:lineRule="auto"/>
              <w:rPr>
                <w:rFonts w:ascii="Times New Roman" w:hAnsi="Times New Roman" w:eastAsia="宋体" w:cs="Times New Roman"/>
                <w:kern w:val="0"/>
                <w:szCs w:val="20"/>
              </w:rPr>
            </w:pPr>
            <w:r>
              <w:rPr>
                <w:rFonts w:hint="eastAsia" w:ascii="Times New Roman" w:hAnsi="Times New Roman" w:eastAsia="宋体" w:cs="Times New Roman"/>
                <w:kern w:val="0"/>
                <w:szCs w:val="20"/>
              </w:rPr>
              <w:t>使用户理解硬件系统结构原理，硬件系统信号列表使用和修改方法，掌握硬件配置更改方法；</w:t>
            </w:r>
          </w:p>
        </w:tc>
        <w:tc>
          <w:tcPr>
            <w:tcW w:w="1638" w:type="dxa"/>
            <w:vAlign w:val="center"/>
          </w:tcPr>
          <w:p>
            <w:pPr>
              <w:spacing w:line="300" w:lineRule="auto"/>
              <w:jc w:val="center"/>
              <w:rPr>
                <w:rFonts w:ascii="Times New Roman" w:hAnsi="Times New Roman" w:eastAsia="宋体" w:cs="Times New Roman"/>
                <w:kern w:val="0"/>
                <w:szCs w:val="20"/>
              </w:rPr>
            </w:pPr>
            <w:r>
              <w:rPr>
                <w:rFonts w:hint="eastAsia" w:ascii="Times New Roman" w:hAnsi="Times New Roman" w:eastAsia="宋体" w:cs="Times New Roman"/>
                <w:kern w:val="0"/>
                <w:szCs w:val="20"/>
              </w:rPr>
              <w:t>2天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pPr>
              <w:spacing w:line="300" w:lineRule="auto"/>
              <w:rPr>
                <w:rFonts w:ascii="Times New Roman" w:hAnsi="Times New Roman" w:eastAsia="宋体" w:cs="Times New Roman"/>
                <w:kern w:val="0"/>
                <w:szCs w:val="20"/>
              </w:rPr>
            </w:pPr>
            <w:r>
              <w:rPr>
                <w:rFonts w:hint="eastAsia" w:ascii="Times New Roman" w:hAnsi="Times New Roman" w:eastAsia="宋体" w:cs="Times New Roman"/>
                <w:kern w:val="0"/>
                <w:szCs w:val="20"/>
              </w:rPr>
              <w:t>软件培训</w:t>
            </w:r>
          </w:p>
        </w:tc>
        <w:tc>
          <w:tcPr>
            <w:tcW w:w="5245" w:type="dxa"/>
          </w:tcPr>
          <w:p>
            <w:pPr>
              <w:spacing w:line="300" w:lineRule="auto"/>
              <w:rPr>
                <w:rFonts w:ascii="Times New Roman" w:hAnsi="Times New Roman" w:eastAsia="宋体" w:cs="Times New Roman"/>
                <w:kern w:val="0"/>
                <w:szCs w:val="20"/>
              </w:rPr>
            </w:pPr>
            <w:r>
              <w:rPr>
                <w:rFonts w:hint="eastAsia" w:ascii="Times New Roman" w:hAnsi="Times New Roman" w:eastAsia="宋体" w:cs="Times New Roman"/>
                <w:kern w:val="0"/>
                <w:szCs w:val="20"/>
              </w:rPr>
              <w:t>使用户掌握软件安装方法和使用方法</w:t>
            </w:r>
          </w:p>
        </w:tc>
        <w:tc>
          <w:tcPr>
            <w:tcW w:w="1638" w:type="dxa"/>
            <w:vAlign w:val="center"/>
          </w:tcPr>
          <w:p>
            <w:pPr>
              <w:spacing w:line="300" w:lineRule="auto"/>
              <w:jc w:val="center"/>
              <w:rPr>
                <w:rFonts w:ascii="Times New Roman" w:hAnsi="Times New Roman" w:eastAsia="宋体" w:cs="Times New Roman"/>
                <w:kern w:val="0"/>
                <w:szCs w:val="20"/>
              </w:rPr>
            </w:pPr>
            <w:r>
              <w:rPr>
                <w:rFonts w:hint="eastAsia" w:ascii="Times New Roman" w:hAnsi="Times New Roman" w:eastAsia="宋体" w:cs="Times New Roman"/>
                <w:kern w:val="0"/>
                <w:szCs w:val="20"/>
              </w:rPr>
              <w:t>4天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pPr>
              <w:spacing w:line="300" w:lineRule="auto"/>
              <w:rPr>
                <w:rFonts w:ascii="Times New Roman" w:hAnsi="Times New Roman" w:eastAsia="宋体" w:cs="Times New Roman"/>
                <w:kern w:val="0"/>
                <w:szCs w:val="20"/>
              </w:rPr>
            </w:pPr>
            <w:r>
              <w:rPr>
                <w:rFonts w:hint="eastAsia" w:ascii="Times New Roman" w:hAnsi="Times New Roman" w:eastAsia="宋体" w:cs="Times New Roman"/>
                <w:kern w:val="0"/>
                <w:szCs w:val="20"/>
              </w:rPr>
              <w:t>模型培训</w:t>
            </w:r>
          </w:p>
        </w:tc>
        <w:tc>
          <w:tcPr>
            <w:tcW w:w="5245" w:type="dxa"/>
          </w:tcPr>
          <w:p>
            <w:pPr>
              <w:spacing w:line="300" w:lineRule="auto"/>
              <w:rPr>
                <w:rFonts w:ascii="Times New Roman" w:hAnsi="Times New Roman" w:eastAsia="宋体" w:cs="Times New Roman"/>
                <w:kern w:val="0"/>
                <w:szCs w:val="20"/>
              </w:rPr>
            </w:pPr>
            <w:r>
              <w:rPr>
                <w:rFonts w:hint="eastAsia" w:ascii="Times New Roman" w:hAnsi="Times New Roman" w:eastAsia="宋体" w:cs="Times New Roman"/>
                <w:kern w:val="0"/>
                <w:szCs w:val="20"/>
              </w:rPr>
              <w:t>使用户理解模型建模原理，掌握使用方法</w:t>
            </w:r>
          </w:p>
        </w:tc>
        <w:tc>
          <w:tcPr>
            <w:tcW w:w="1638" w:type="dxa"/>
            <w:vAlign w:val="center"/>
          </w:tcPr>
          <w:p>
            <w:pPr>
              <w:spacing w:line="300" w:lineRule="auto"/>
              <w:jc w:val="center"/>
              <w:rPr>
                <w:rFonts w:ascii="Times New Roman" w:hAnsi="Times New Roman" w:eastAsia="宋体" w:cs="Times New Roman"/>
                <w:kern w:val="0"/>
                <w:szCs w:val="20"/>
              </w:rPr>
            </w:pPr>
            <w:r>
              <w:rPr>
                <w:rFonts w:hint="eastAsia" w:ascii="Times New Roman" w:hAnsi="Times New Roman" w:eastAsia="宋体" w:cs="Times New Roman"/>
                <w:kern w:val="0"/>
                <w:szCs w:val="20"/>
              </w:rPr>
              <w:t>2天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13" w:type="dxa"/>
            <w:vAlign w:val="center"/>
          </w:tcPr>
          <w:p>
            <w:pPr>
              <w:spacing w:line="300" w:lineRule="auto"/>
              <w:rPr>
                <w:rFonts w:ascii="Times New Roman" w:hAnsi="Times New Roman" w:eastAsia="宋体" w:cs="Times New Roman"/>
                <w:kern w:val="0"/>
                <w:szCs w:val="20"/>
              </w:rPr>
            </w:pPr>
            <w:r>
              <w:rPr>
                <w:rFonts w:hint="eastAsia" w:ascii="Times New Roman" w:hAnsi="Times New Roman" w:eastAsia="宋体" w:cs="Times New Roman"/>
                <w:kern w:val="0"/>
                <w:szCs w:val="20"/>
              </w:rPr>
              <w:t>系统培训</w:t>
            </w:r>
          </w:p>
        </w:tc>
        <w:tc>
          <w:tcPr>
            <w:tcW w:w="5245" w:type="dxa"/>
          </w:tcPr>
          <w:p>
            <w:pPr>
              <w:spacing w:line="300" w:lineRule="auto"/>
              <w:rPr>
                <w:rFonts w:ascii="Times New Roman" w:hAnsi="Times New Roman" w:eastAsia="宋体" w:cs="Times New Roman"/>
                <w:kern w:val="0"/>
                <w:szCs w:val="20"/>
              </w:rPr>
            </w:pPr>
            <w:r>
              <w:rPr>
                <w:rFonts w:hint="eastAsia" w:ascii="Times New Roman" w:hAnsi="Times New Roman" w:eastAsia="宋体" w:cs="Times New Roman"/>
                <w:kern w:val="0"/>
                <w:szCs w:val="20"/>
              </w:rPr>
              <w:t>使用户熟悉本项目HIL系统的操作方法，可以独立进行手动和自动测试</w:t>
            </w:r>
          </w:p>
        </w:tc>
        <w:tc>
          <w:tcPr>
            <w:tcW w:w="1638" w:type="dxa"/>
            <w:vAlign w:val="center"/>
          </w:tcPr>
          <w:p>
            <w:pPr>
              <w:spacing w:line="300" w:lineRule="auto"/>
              <w:jc w:val="center"/>
              <w:rPr>
                <w:rFonts w:ascii="Times New Roman" w:hAnsi="Times New Roman" w:eastAsia="宋体" w:cs="Times New Roman"/>
                <w:kern w:val="0"/>
                <w:szCs w:val="20"/>
              </w:rPr>
            </w:pPr>
            <w:r>
              <w:rPr>
                <w:rFonts w:hint="eastAsia" w:ascii="Times New Roman" w:hAnsi="Times New Roman" w:eastAsia="宋体" w:cs="Times New Roman"/>
                <w:kern w:val="0"/>
                <w:szCs w:val="20"/>
              </w:rPr>
              <w:t>2天</w:t>
            </w:r>
          </w:p>
        </w:tc>
      </w:tr>
    </w:tbl>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8资料的提供</w:t>
      </w:r>
    </w:p>
    <w:p>
      <w:pPr>
        <w:spacing w:line="300" w:lineRule="auto"/>
        <w:ind w:firstLine="480" w:firstLineChars="200"/>
        <w:rPr>
          <w:rFonts w:ascii="Times New Roman" w:hAnsi="Times New Roman" w:eastAsia="宋体" w:cs="Times New Roman"/>
          <w:sz w:val="24"/>
          <w:szCs w:val="21"/>
        </w:rPr>
      </w:pPr>
      <w:r>
        <w:rPr>
          <w:rFonts w:ascii="Times New Roman" w:hAnsi="Times New Roman" w:eastAsia="宋体" w:cs="Times New Roman"/>
          <w:sz w:val="24"/>
          <w:szCs w:val="21"/>
        </w:rPr>
        <w:t>中标方应</w:t>
      </w:r>
      <w:r>
        <w:rPr>
          <w:rFonts w:hint="eastAsia" w:ascii="Times New Roman" w:hAnsi="Times New Roman" w:eastAsia="宋体" w:cs="Times New Roman"/>
          <w:sz w:val="24"/>
          <w:szCs w:val="21"/>
        </w:rPr>
        <w:t>在项目终验收前</w:t>
      </w:r>
      <w:r>
        <w:rPr>
          <w:rFonts w:ascii="Times New Roman" w:hAnsi="Times New Roman" w:eastAsia="宋体" w:cs="Times New Roman"/>
          <w:sz w:val="24"/>
          <w:szCs w:val="21"/>
        </w:rPr>
        <w:t>提供以下文件资料：</w:t>
      </w:r>
    </w:p>
    <w:p>
      <w:pPr>
        <w:spacing w:line="360" w:lineRule="auto"/>
        <w:outlineLvl w:val="3"/>
        <w:rPr>
          <w:rFonts w:ascii="Times New Roman" w:hAnsi="Times New Roman" w:eastAsia="宋体" w:cs="Times New Roman"/>
          <w:b/>
          <w:bCs/>
          <w:sz w:val="24"/>
          <w:szCs w:val="24"/>
        </w:rPr>
      </w:pPr>
      <w:bookmarkStart w:id="78" w:name="_Toc58503504"/>
      <w:r>
        <w:rPr>
          <w:rFonts w:hint="eastAsia" w:ascii="Times New Roman" w:hAnsi="Times New Roman" w:eastAsia="宋体" w:cs="Times New Roman"/>
          <w:b/>
          <w:bCs/>
          <w:sz w:val="24"/>
          <w:szCs w:val="24"/>
        </w:rPr>
        <w:t>8.1硬件文档</w:t>
      </w:r>
      <w:bookmarkEnd w:id="78"/>
    </w:p>
    <w:p>
      <w:pPr>
        <w:spacing w:line="300" w:lineRule="auto"/>
        <w:ind w:left="480"/>
        <w:rPr>
          <w:rFonts w:ascii="Times New Roman" w:hAnsi="Times New Roman" w:eastAsia="宋体" w:cs="Times New Roman"/>
          <w:sz w:val="24"/>
          <w:szCs w:val="21"/>
        </w:rPr>
      </w:pPr>
      <w:r>
        <w:rPr>
          <w:rFonts w:hint="eastAsia" w:ascii="Times New Roman" w:hAnsi="Times New Roman" w:eastAsia="宋体" w:cs="Times New Roman"/>
          <w:sz w:val="24"/>
          <w:szCs w:val="21"/>
        </w:rPr>
        <w:t>1）系统硬件清单；</w:t>
      </w:r>
    </w:p>
    <w:p>
      <w:pPr>
        <w:spacing w:line="300" w:lineRule="auto"/>
        <w:ind w:left="480"/>
        <w:rPr>
          <w:rFonts w:ascii="Times New Roman" w:hAnsi="Times New Roman" w:eastAsia="宋体" w:cs="Times New Roman"/>
          <w:sz w:val="24"/>
          <w:szCs w:val="21"/>
        </w:rPr>
      </w:pPr>
      <w:r>
        <w:rPr>
          <w:rFonts w:hint="eastAsia" w:ascii="Times New Roman" w:hAnsi="Times New Roman" w:eastAsia="宋体" w:cs="Times New Roman"/>
          <w:sz w:val="24"/>
          <w:szCs w:val="21"/>
        </w:rPr>
        <w:t>2）系统信号列表；</w:t>
      </w:r>
    </w:p>
    <w:p>
      <w:pPr>
        <w:spacing w:line="300" w:lineRule="auto"/>
        <w:ind w:left="480"/>
        <w:rPr>
          <w:rFonts w:ascii="Times New Roman" w:hAnsi="Times New Roman" w:eastAsia="宋体" w:cs="Times New Roman"/>
          <w:sz w:val="24"/>
          <w:szCs w:val="21"/>
        </w:rPr>
      </w:pPr>
      <w:r>
        <w:rPr>
          <w:rFonts w:hint="eastAsia" w:ascii="Times New Roman" w:hAnsi="Times New Roman" w:eastAsia="宋体" w:cs="Times New Roman"/>
          <w:sz w:val="24"/>
          <w:szCs w:val="21"/>
        </w:rPr>
        <w:t>3）各个硬件板卡说明文档；</w:t>
      </w:r>
    </w:p>
    <w:p>
      <w:pPr>
        <w:spacing w:line="300" w:lineRule="auto"/>
        <w:ind w:left="480"/>
        <w:rPr>
          <w:rFonts w:ascii="Times New Roman" w:hAnsi="Times New Roman" w:eastAsia="宋体" w:cs="Times New Roman"/>
          <w:sz w:val="24"/>
          <w:szCs w:val="21"/>
        </w:rPr>
      </w:pPr>
      <w:r>
        <w:rPr>
          <w:rFonts w:hint="eastAsia" w:ascii="Times New Roman" w:hAnsi="Times New Roman" w:eastAsia="宋体" w:cs="Times New Roman"/>
          <w:sz w:val="24"/>
          <w:szCs w:val="21"/>
        </w:rPr>
        <w:t>4）激励测试报告；</w:t>
      </w:r>
    </w:p>
    <w:p>
      <w:pPr>
        <w:spacing w:line="300" w:lineRule="auto"/>
        <w:ind w:left="480"/>
        <w:rPr>
          <w:rFonts w:ascii="Times New Roman" w:hAnsi="Times New Roman" w:eastAsia="宋体" w:cs="Times New Roman"/>
          <w:sz w:val="24"/>
          <w:szCs w:val="21"/>
        </w:rPr>
      </w:pPr>
      <w:r>
        <w:rPr>
          <w:rFonts w:hint="eastAsia" w:ascii="Times New Roman" w:hAnsi="Times New Roman" w:eastAsia="宋体" w:cs="Times New Roman"/>
          <w:sz w:val="24"/>
          <w:szCs w:val="21"/>
        </w:rPr>
        <w:t>5）5条DEMO测试用例。</w:t>
      </w:r>
    </w:p>
    <w:p>
      <w:pPr>
        <w:spacing w:line="360" w:lineRule="auto"/>
        <w:outlineLvl w:val="3"/>
        <w:rPr>
          <w:rFonts w:ascii="Times New Roman" w:hAnsi="Times New Roman" w:eastAsia="宋体" w:cs="Times New Roman"/>
          <w:b/>
          <w:bCs/>
          <w:sz w:val="24"/>
          <w:szCs w:val="24"/>
        </w:rPr>
      </w:pPr>
      <w:bookmarkStart w:id="79" w:name="_Toc58503505"/>
      <w:r>
        <w:rPr>
          <w:rFonts w:hint="eastAsia" w:ascii="Times New Roman" w:hAnsi="Times New Roman" w:eastAsia="宋体" w:cs="Times New Roman"/>
          <w:b/>
          <w:bCs/>
          <w:sz w:val="24"/>
          <w:szCs w:val="24"/>
        </w:rPr>
        <w:t>8.2软件文档</w:t>
      </w:r>
      <w:bookmarkEnd w:id="79"/>
    </w:p>
    <w:p>
      <w:pPr>
        <w:numPr>
          <w:ilvl w:val="0"/>
          <w:numId w:val="34"/>
        </w:numPr>
        <w:spacing w:line="30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软件清单；</w:t>
      </w:r>
    </w:p>
    <w:p>
      <w:pPr>
        <w:numPr>
          <w:ilvl w:val="0"/>
          <w:numId w:val="34"/>
        </w:numPr>
        <w:spacing w:line="30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各个软件说明文档。</w:t>
      </w:r>
    </w:p>
    <w:p>
      <w:pPr>
        <w:spacing w:line="360" w:lineRule="auto"/>
        <w:outlineLvl w:val="3"/>
        <w:rPr>
          <w:rFonts w:ascii="Times New Roman" w:hAnsi="Times New Roman" w:eastAsia="宋体" w:cs="Times New Roman"/>
          <w:b/>
          <w:bCs/>
          <w:sz w:val="24"/>
          <w:szCs w:val="24"/>
        </w:rPr>
      </w:pPr>
      <w:bookmarkStart w:id="80" w:name="_Toc58503503"/>
      <w:r>
        <w:rPr>
          <w:rFonts w:hint="eastAsia" w:ascii="Times New Roman" w:hAnsi="Times New Roman" w:eastAsia="宋体" w:cs="Times New Roman"/>
          <w:b/>
          <w:bCs/>
          <w:sz w:val="24"/>
          <w:szCs w:val="24"/>
        </w:rPr>
        <w:t>8.3系统文档</w:t>
      </w:r>
      <w:bookmarkEnd w:id="80"/>
    </w:p>
    <w:p>
      <w:pPr>
        <w:numPr>
          <w:ilvl w:val="0"/>
          <w:numId w:val="35"/>
        </w:numPr>
        <w:spacing w:line="30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系统使用说明书；</w:t>
      </w:r>
    </w:p>
    <w:p>
      <w:pPr>
        <w:numPr>
          <w:ilvl w:val="0"/>
          <w:numId w:val="35"/>
        </w:numPr>
        <w:spacing w:line="30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相关培训教材；</w:t>
      </w:r>
    </w:p>
    <w:p>
      <w:pPr>
        <w:numPr>
          <w:ilvl w:val="0"/>
          <w:numId w:val="35"/>
        </w:numPr>
        <w:spacing w:line="30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系统合格证；</w:t>
      </w:r>
    </w:p>
    <w:p>
      <w:pPr>
        <w:numPr>
          <w:ilvl w:val="0"/>
          <w:numId w:val="35"/>
        </w:numPr>
        <w:spacing w:line="300" w:lineRule="auto"/>
        <w:ind w:left="0"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系统终验收报告。</w:t>
      </w:r>
    </w:p>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9交货期要求</w:t>
      </w:r>
    </w:p>
    <w:p>
      <w:pPr>
        <w:spacing w:line="30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highlight w:val="yellow"/>
        </w:rPr>
        <w:t>合同签订后5个月内完成设备验收并将设备交付至招标方指定使用场地。</w:t>
      </w:r>
    </w:p>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10项目验收要求</w:t>
      </w:r>
    </w:p>
    <w:p>
      <w:pPr>
        <w:spacing w:line="30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项目验收分预验收和终验收两个阶段，预验收在设备提供方现场进行，终验收在招标方现场进行。</w:t>
      </w:r>
    </w:p>
    <w:p>
      <w:pPr>
        <w:spacing w:line="360" w:lineRule="auto"/>
        <w:outlineLvl w:val="3"/>
        <w:rPr>
          <w:rFonts w:ascii="Times New Roman" w:hAnsi="Times New Roman" w:eastAsia="宋体" w:cs="Times New Roman"/>
          <w:b/>
          <w:bCs/>
          <w:sz w:val="24"/>
          <w:szCs w:val="24"/>
        </w:rPr>
      </w:pPr>
      <w:bookmarkStart w:id="81" w:name="_Toc58503509"/>
      <w:bookmarkEnd w:id="81"/>
      <w:bookmarkStart w:id="82" w:name="_Toc58503510"/>
      <w:bookmarkEnd w:id="82"/>
      <w:bookmarkStart w:id="83" w:name="_Toc58503513"/>
      <w:bookmarkEnd w:id="83"/>
      <w:bookmarkStart w:id="84" w:name="_Toc58503512"/>
      <w:bookmarkEnd w:id="84"/>
      <w:bookmarkStart w:id="85" w:name="_Toc58503511"/>
      <w:bookmarkEnd w:id="85"/>
      <w:bookmarkStart w:id="86" w:name="_Toc58503514"/>
      <w:bookmarkEnd w:id="86"/>
      <w:bookmarkStart w:id="87" w:name="_Toc58503517"/>
      <w:r>
        <w:rPr>
          <w:rFonts w:hint="eastAsia" w:ascii="Times New Roman" w:hAnsi="Times New Roman" w:eastAsia="宋体" w:cs="Times New Roman"/>
          <w:b/>
          <w:bCs/>
          <w:sz w:val="24"/>
          <w:szCs w:val="24"/>
        </w:rPr>
        <w:t>10.1终验收内容</w:t>
      </w:r>
      <w:bookmarkEnd w:id="87"/>
    </w:p>
    <w:p>
      <w:pPr>
        <w:numPr>
          <w:ilvl w:val="1"/>
          <w:numId w:val="0"/>
        </w:numPr>
        <w:tabs>
          <w:tab w:val="left" w:pos="454"/>
        </w:tabs>
        <w:spacing w:line="360" w:lineRule="auto"/>
        <w:outlineLvl w:val="4"/>
        <w:rPr>
          <w:rFonts w:ascii="Times New Roman" w:hAnsi="Times New Roman" w:eastAsia="宋体" w:cs="Times New Roman"/>
          <w:sz w:val="24"/>
          <w:szCs w:val="24"/>
        </w:rPr>
      </w:pPr>
      <w:bookmarkStart w:id="88" w:name="_Toc58503518"/>
      <w:r>
        <w:rPr>
          <w:rFonts w:hint="eastAsia" w:ascii="Times New Roman" w:hAnsi="Times New Roman" w:eastAsia="宋体" w:cs="Times New Roman"/>
          <w:sz w:val="24"/>
          <w:szCs w:val="24"/>
        </w:rPr>
        <w:t>10.1.1系统完整性验收</w:t>
      </w:r>
      <w:bookmarkEnd w:id="88"/>
    </w:p>
    <w:p>
      <w:pPr>
        <w:spacing w:line="30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对照技术协议中的供货范围，对提交的设备进行确认，主要包括系统硬件、系统软件等方面。</w:t>
      </w:r>
    </w:p>
    <w:p>
      <w:pPr>
        <w:numPr>
          <w:ilvl w:val="1"/>
          <w:numId w:val="0"/>
        </w:numPr>
        <w:tabs>
          <w:tab w:val="left" w:pos="454"/>
        </w:tabs>
        <w:spacing w:line="360" w:lineRule="auto"/>
        <w:outlineLvl w:val="4"/>
        <w:rPr>
          <w:rFonts w:ascii="Times New Roman" w:hAnsi="Times New Roman" w:eastAsia="宋体" w:cs="Times New Roman"/>
          <w:sz w:val="24"/>
          <w:szCs w:val="24"/>
        </w:rPr>
      </w:pPr>
      <w:bookmarkStart w:id="89" w:name="_Toc58503519"/>
      <w:r>
        <w:rPr>
          <w:rFonts w:hint="eastAsia" w:ascii="Times New Roman" w:hAnsi="Times New Roman" w:eastAsia="宋体" w:cs="Times New Roman"/>
          <w:sz w:val="24"/>
          <w:szCs w:val="24"/>
        </w:rPr>
        <w:t>10.1.2预验收遗留问题确认</w:t>
      </w:r>
      <w:bookmarkEnd w:id="89"/>
    </w:p>
    <w:p>
      <w:pPr>
        <w:spacing w:line="30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对预验收过程中遗留的问题进行确认。</w:t>
      </w:r>
    </w:p>
    <w:p>
      <w:pPr>
        <w:numPr>
          <w:ilvl w:val="1"/>
          <w:numId w:val="0"/>
        </w:numPr>
        <w:tabs>
          <w:tab w:val="left" w:pos="454"/>
        </w:tabs>
        <w:spacing w:line="360" w:lineRule="auto"/>
        <w:outlineLvl w:val="4"/>
        <w:rPr>
          <w:rFonts w:ascii="Times New Roman" w:hAnsi="Times New Roman" w:eastAsia="宋体" w:cs="Times New Roman"/>
          <w:sz w:val="24"/>
          <w:szCs w:val="24"/>
        </w:rPr>
      </w:pPr>
      <w:bookmarkStart w:id="90" w:name="_Toc58503521"/>
      <w:bookmarkStart w:id="91" w:name="_Toc466562404"/>
      <w:r>
        <w:rPr>
          <w:rFonts w:hint="eastAsia" w:ascii="Times New Roman" w:hAnsi="Times New Roman" w:eastAsia="宋体" w:cs="Times New Roman"/>
          <w:sz w:val="24"/>
          <w:szCs w:val="24"/>
        </w:rPr>
        <w:t>10.1.3技术资料提交与确认</w:t>
      </w:r>
      <w:bookmarkEnd w:id="90"/>
      <w:bookmarkEnd w:id="91"/>
    </w:p>
    <w:p>
      <w:pPr>
        <w:spacing w:line="30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对提交的项目工程文件和文档资料进行确认。</w:t>
      </w:r>
    </w:p>
    <w:p>
      <w:pPr>
        <w:spacing w:line="360" w:lineRule="auto"/>
        <w:outlineLvl w:val="2"/>
        <w:rPr>
          <w:rFonts w:ascii="Times New Roman" w:hAnsi="Times New Roman" w:eastAsia="宋体" w:cs="Times New Roman"/>
          <w:b/>
          <w:bCs/>
          <w:sz w:val="24"/>
          <w:szCs w:val="24"/>
        </w:rPr>
      </w:pPr>
      <w:r>
        <w:rPr>
          <w:rFonts w:hint="eastAsia" w:ascii="Times New Roman" w:hAnsi="Times New Roman" w:eastAsia="宋体" w:cs="Times New Roman"/>
          <w:b/>
          <w:bCs/>
          <w:sz w:val="24"/>
          <w:szCs w:val="24"/>
        </w:rPr>
        <w:t>11质保与售后</w:t>
      </w:r>
    </w:p>
    <w:p>
      <w:pPr>
        <w:spacing w:line="360" w:lineRule="auto"/>
        <w:ind w:firstLine="480" w:firstLineChars="200"/>
        <w:rPr>
          <w:rFonts w:ascii="Times New Roman" w:hAnsi="Times New Roman" w:eastAsia="宋体" w:cs="Times New Roman"/>
          <w:sz w:val="24"/>
          <w:szCs w:val="21"/>
        </w:rPr>
      </w:pPr>
      <w:r>
        <w:rPr>
          <w:rFonts w:hint="eastAsia" w:ascii="Times New Roman" w:hAnsi="Times New Roman" w:eastAsia="宋体" w:cs="Times New Roman"/>
          <w:sz w:val="24"/>
          <w:szCs w:val="21"/>
        </w:rPr>
        <w:t>质保期为终验收报告签署生效之日起12个月，质保期内：</w:t>
      </w:r>
    </w:p>
    <w:p>
      <w:pPr>
        <w:numPr>
          <w:ilvl w:val="0"/>
          <w:numId w:val="3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软件自license生效之日起12个月内免费提供软件升级服务；</w:t>
      </w:r>
    </w:p>
    <w:p>
      <w:pPr>
        <w:numPr>
          <w:ilvl w:val="0"/>
          <w:numId w:val="3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质保期结束前提供一次系统维护服务，保证系统运行；</w:t>
      </w:r>
    </w:p>
    <w:p>
      <w:pPr>
        <w:numPr>
          <w:ilvl w:val="0"/>
          <w:numId w:val="3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对于非人为损坏的部件应给与免费维修或更换；</w:t>
      </w:r>
    </w:p>
    <w:p>
      <w:pPr>
        <w:numPr>
          <w:ilvl w:val="0"/>
          <w:numId w:val="36"/>
        </w:numPr>
        <w:spacing w:line="360" w:lineRule="auto"/>
        <w:rPr>
          <w:rFonts w:ascii="Times New Roman" w:hAnsi="Times New Roman" w:eastAsia="宋体" w:cs="Times New Roman"/>
          <w:sz w:val="24"/>
          <w:szCs w:val="21"/>
          <w:highlight w:val="yellow"/>
        </w:rPr>
      </w:pPr>
      <w:r>
        <w:rPr>
          <w:rFonts w:hint="eastAsia" w:ascii="Times New Roman" w:hAnsi="Times New Roman" w:eastAsia="宋体" w:cs="Times New Roman"/>
          <w:sz w:val="24"/>
          <w:szCs w:val="21"/>
          <w:highlight w:val="yellow"/>
        </w:rPr>
        <w:t>对系统使用过程中发生的故障应在收到招标方通知后</w:t>
      </w:r>
      <w:r>
        <w:rPr>
          <w:rFonts w:ascii="Times New Roman" w:hAnsi="Times New Roman" w:eastAsia="宋体" w:cs="Times New Roman"/>
          <w:sz w:val="24"/>
          <w:szCs w:val="21"/>
          <w:highlight w:val="yellow"/>
        </w:rPr>
        <w:t>24</w:t>
      </w:r>
      <w:r>
        <w:rPr>
          <w:rFonts w:hint="eastAsia" w:ascii="Times New Roman" w:hAnsi="Times New Roman" w:eastAsia="宋体" w:cs="Times New Roman"/>
          <w:sz w:val="24"/>
          <w:szCs w:val="21"/>
          <w:highlight w:val="yellow"/>
        </w:rPr>
        <w:t>小时内进行响应，如确认无法远程排除故障，则要求在4</w:t>
      </w:r>
      <w:r>
        <w:rPr>
          <w:rFonts w:ascii="Times New Roman" w:hAnsi="Times New Roman" w:eastAsia="宋体" w:cs="Times New Roman"/>
          <w:sz w:val="24"/>
          <w:szCs w:val="21"/>
          <w:highlight w:val="yellow"/>
        </w:rPr>
        <w:t>8</w:t>
      </w:r>
      <w:r>
        <w:rPr>
          <w:rFonts w:hint="eastAsia" w:ascii="Times New Roman" w:hAnsi="Times New Roman" w:eastAsia="宋体" w:cs="Times New Roman"/>
          <w:sz w:val="24"/>
          <w:szCs w:val="21"/>
          <w:highlight w:val="yellow"/>
        </w:rPr>
        <w:t>小时内到现场进行故障排查；</w:t>
      </w:r>
    </w:p>
    <w:p>
      <w:pPr>
        <w:numPr>
          <w:ilvl w:val="0"/>
          <w:numId w:val="36"/>
        </w:numPr>
        <w:spacing w:line="360" w:lineRule="auto"/>
        <w:rPr>
          <w:rFonts w:ascii="Times New Roman" w:hAnsi="Times New Roman" w:eastAsia="宋体" w:cs="Times New Roman"/>
          <w:sz w:val="24"/>
          <w:szCs w:val="21"/>
        </w:rPr>
      </w:pPr>
      <w:r>
        <w:rPr>
          <w:rFonts w:hint="eastAsia" w:ascii="Times New Roman" w:hAnsi="Times New Roman" w:eastAsia="宋体" w:cs="Times New Roman"/>
          <w:sz w:val="24"/>
          <w:szCs w:val="21"/>
        </w:rPr>
        <w:t>质保期外提供免费电话或邮件技术支持。</w:t>
      </w:r>
    </w:p>
    <w:p>
      <w:pPr>
        <w:spacing w:line="300" w:lineRule="auto"/>
        <w:ind w:firstLine="480" w:firstLineChars="200"/>
        <w:rPr>
          <w:rFonts w:ascii="Times New Roman" w:hAnsi="Times New Roman" w:eastAsia="宋体" w:cs="Times New Roman"/>
          <w:sz w:val="24"/>
          <w:szCs w:val="21"/>
        </w:rPr>
      </w:pPr>
    </w:p>
    <w:p>
      <w:pPr>
        <w:spacing w:line="360" w:lineRule="auto"/>
        <w:ind w:firstLine="480" w:firstLineChars="200"/>
        <w:rPr>
          <w:rFonts w:ascii="Times New Roman" w:hAnsi="Times New Roman" w:eastAsia="宋体" w:cs="宋体"/>
          <w:sz w:val="24"/>
          <w:szCs w:val="24"/>
          <w:highlight w:val="yellow"/>
        </w:rPr>
      </w:pPr>
    </w:p>
    <w:p>
      <w:pPr>
        <w:spacing w:line="360" w:lineRule="auto"/>
        <w:ind w:firstLine="480" w:firstLineChars="200"/>
        <w:rPr>
          <w:rFonts w:ascii="Times New Roman" w:hAnsi="Times New Roman" w:eastAsia="宋体" w:cs="宋体"/>
          <w:sz w:val="24"/>
          <w:szCs w:val="24"/>
          <w:highlight w:val="yellow"/>
        </w:rPr>
      </w:pPr>
    </w:p>
    <w:p>
      <w:pPr>
        <w:spacing w:line="360" w:lineRule="auto"/>
        <w:ind w:firstLine="480" w:firstLineChars="200"/>
        <w:rPr>
          <w:rFonts w:ascii="Times New Roman" w:hAnsi="Times New Roman" w:eastAsia="宋体" w:cs="宋体"/>
          <w:sz w:val="24"/>
          <w:szCs w:val="24"/>
          <w:highlight w:val="yellow"/>
        </w:rPr>
      </w:pPr>
    </w:p>
    <w:p>
      <w:pPr>
        <w:spacing w:line="360" w:lineRule="auto"/>
        <w:ind w:firstLine="480" w:firstLineChars="200"/>
        <w:rPr>
          <w:rFonts w:ascii="Times New Roman" w:hAnsi="Times New Roman" w:eastAsia="宋体" w:cs="宋体"/>
          <w:sz w:val="24"/>
          <w:szCs w:val="24"/>
          <w:highlight w:val="yellow"/>
        </w:rPr>
      </w:pPr>
    </w:p>
    <w:bookmarkEnd w:id="31"/>
    <w:p>
      <w:pPr>
        <w:keepNext/>
        <w:keepLines/>
        <w:spacing w:before="120" w:after="120" w:line="480" w:lineRule="exact"/>
        <w:jc w:val="center"/>
        <w:outlineLvl w:val="1"/>
        <w:rPr>
          <w:rFonts w:ascii="Times New Roman" w:hAnsi="Times New Roman" w:eastAsia="宋体" w:cs="Times New Roman"/>
          <w:b/>
          <w:bCs/>
          <w:kern w:val="44"/>
          <w:sz w:val="28"/>
          <w:szCs w:val="28"/>
        </w:rPr>
      </w:pPr>
      <w:r>
        <w:rPr>
          <w:rFonts w:hint="eastAsia" w:ascii="Times New Roman" w:hAnsi="Times New Roman" w:eastAsia="宋体" w:cs="Times New Roman"/>
          <w:b/>
          <w:bCs/>
          <w:kern w:val="44"/>
          <w:sz w:val="28"/>
          <w:szCs w:val="28"/>
        </w:rPr>
        <w:t>第三章  供货范围及供货方式</w:t>
      </w:r>
    </w:p>
    <w:p>
      <w:pPr>
        <w:keepNext/>
        <w:keepLines/>
        <w:spacing w:line="360" w:lineRule="auto"/>
        <w:jc w:val="center"/>
        <w:outlineLvl w:val="2"/>
        <w:rPr>
          <w:rFonts w:ascii="Times New Roman" w:hAnsi="Times New Roman" w:eastAsia="宋体" w:cs="宋体"/>
          <w:b/>
          <w:bCs/>
          <w:sz w:val="24"/>
          <w:szCs w:val="32"/>
        </w:rPr>
      </w:pPr>
      <w:r>
        <w:rPr>
          <w:rFonts w:hint="eastAsia" w:ascii="Times New Roman" w:hAnsi="Times New Roman" w:eastAsia="宋体" w:cs="宋体"/>
          <w:b/>
          <w:bCs/>
          <w:sz w:val="24"/>
          <w:szCs w:val="32"/>
        </w:rPr>
        <w:t>第一节  供货范围</w:t>
      </w:r>
    </w:p>
    <w:p>
      <w:pPr>
        <w:spacing w:line="420" w:lineRule="exact"/>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一、供货范围</w:t>
      </w:r>
    </w:p>
    <w:tbl>
      <w:tblPr>
        <w:tblStyle w:val="39"/>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70" w:type="dxa"/>
          <w:bottom w:w="0" w:type="dxa"/>
          <w:right w:w="70" w:type="dxa"/>
        </w:tblCellMar>
      </w:tblPr>
      <w:tblGrid>
        <w:gridCol w:w="1030"/>
        <w:gridCol w:w="2741"/>
        <w:gridCol w:w="945"/>
        <w:gridCol w:w="44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485" w:hRule="atLeast"/>
          <w:tblHeader/>
        </w:trPr>
        <w:tc>
          <w:tcPr>
            <w:tcW w:w="559" w:type="pct"/>
            <w:shd w:val="pct10" w:color="auto" w:fill="FFFFFF"/>
            <w:vAlign w:val="center"/>
          </w:tcPr>
          <w:p>
            <w:pPr>
              <w:pStyle w:val="128"/>
              <w:adjustRightInd w:val="0"/>
              <w:snapToGrid w:val="0"/>
              <w:spacing w:beforeLines="0" w:afterLines="0"/>
              <w:jc w:val="center"/>
              <w:rPr>
                <w:rFonts w:ascii="Times New Roman" w:hAnsi="Times New Roman"/>
                <w:b/>
                <w:sz w:val="24"/>
              </w:rPr>
            </w:pPr>
            <w:r>
              <w:rPr>
                <w:rFonts w:hint="eastAsia" w:ascii="Times New Roman" w:hAnsi="Times New Roman"/>
                <w:b/>
                <w:sz w:val="24"/>
              </w:rPr>
              <w:t>序号</w:t>
            </w:r>
          </w:p>
        </w:tc>
        <w:tc>
          <w:tcPr>
            <w:tcW w:w="1488" w:type="pct"/>
            <w:shd w:val="pct10" w:color="auto" w:fill="FFFFFF"/>
            <w:vAlign w:val="center"/>
          </w:tcPr>
          <w:p>
            <w:pPr>
              <w:pStyle w:val="128"/>
              <w:adjustRightInd w:val="0"/>
              <w:snapToGrid w:val="0"/>
              <w:spacing w:beforeLines="0" w:afterLines="0"/>
              <w:jc w:val="center"/>
              <w:rPr>
                <w:rFonts w:ascii="Times New Roman" w:hAnsi="Times New Roman"/>
                <w:b/>
                <w:sz w:val="24"/>
              </w:rPr>
            </w:pPr>
            <w:r>
              <w:rPr>
                <w:rFonts w:hint="eastAsia" w:ascii="Times New Roman" w:hAnsi="Times New Roman"/>
                <w:b/>
                <w:sz w:val="24"/>
              </w:rPr>
              <w:t>名称</w:t>
            </w:r>
          </w:p>
        </w:tc>
        <w:tc>
          <w:tcPr>
            <w:tcW w:w="513" w:type="pct"/>
            <w:shd w:val="pct10" w:color="auto" w:fill="FFFFFF"/>
            <w:vAlign w:val="center"/>
          </w:tcPr>
          <w:p>
            <w:pPr>
              <w:pStyle w:val="128"/>
              <w:adjustRightInd w:val="0"/>
              <w:snapToGrid w:val="0"/>
              <w:spacing w:beforeLines="0" w:afterLines="0"/>
              <w:jc w:val="center"/>
              <w:rPr>
                <w:rFonts w:ascii="Times New Roman" w:hAnsi="Times New Roman"/>
                <w:b/>
                <w:sz w:val="24"/>
              </w:rPr>
            </w:pPr>
            <w:r>
              <w:rPr>
                <w:rFonts w:hint="eastAsia" w:ascii="Times New Roman" w:hAnsi="Times New Roman"/>
                <w:b/>
                <w:sz w:val="24"/>
              </w:rPr>
              <w:t>数量</w:t>
            </w:r>
          </w:p>
        </w:tc>
        <w:tc>
          <w:tcPr>
            <w:tcW w:w="2439" w:type="pct"/>
            <w:shd w:val="pct10" w:color="auto" w:fill="FFFFFF"/>
            <w:vAlign w:val="center"/>
          </w:tcPr>
          <w:p>
            <w:pPr>
              <w:pStyle w:val="128"/>
              <w:adjustRightInd w:val="0"/>
              <w:snapToGrid w:val="0"/>
              <w:spacing w:beforeLines="0" w:afterLines="0"/>
              <w:jc w:val="center"/>
              <w:rPr>
                <w:rFonts w:ascii="Times New Roman" w:hAnsi="Times New Roman"/>
                <w:b/>
                <w:sz w:val="24"/>
              </w:rPr>
            </w:pPr>
            <w:r>
              <w:rPr>
                <w:rFonts w:hint="eastAsia" w:ascii="Times New Roman" w:hAnsi="Times New Roman"/>
                <w:b/>
                <w:sz w:val="24"/>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ascii="Times New Roman" w:hAnsi="Times New Roman"/>
              </w:rPr>
            </w:pPr>
            <w:r>
              <w:rPr>
                <w:rFonts w:ascii="Times New Roman" w:hAnsi="Times New Roman"/>
                <w:b/>
              </w:rPr>
              <w:t>1</w:t>
            </w:r>
          </w:p>
        </w:tc>
        <w:tc>
          <w:tcPr>
            <w:tcW w:w="1488" w:type="pct"/>
            <w:vAlign w:val="center"/>
          </w:tcPr>
          <w:p>
            <w:pPr>
              <w:pStyle w:val="128"/>
              <w:adjustRightInd w:val="0"/>
              <w:snapToGrid w:val="0"/>
              <w:spacing w:beforeLines="0" w:afterLines="0"/>
              <w:rPr>
                <w:rFonts w:hint="default" w:ascii="Times New Roman" w:hAnsi="Times New Roman" w:eastAsiaTheme="minorEastAsia"/>
                <w:szCs w:val="28"/>
                <w:lang w:val="en-US" w:eastAsia="zh-CN"/>
              </w:rPr>
            </w:pPr>
            <w:r>
              <w:rPr>
                <w:rFonts w:hint="eastAsia" w:ascii="Times New Roman" w:hAnsi="Times New Roman"/>
                <w:b/>
                <w:szCs w:val="28"/>
                <w:lang w:val="en-US" w:eastAsia="zh-CN"/>
              </w:rPr>
              <w:t>硬件平台</w:t>
            </w:r>
          </w:p>
        </w:tc>
        <w:tc>
          <w:tcPr>
            <w:tcW w:w="513" w:type="pct"/>
            <w:vAlign w:val="center"/>
          </w:tcPr>
          <w:p>
            <w:pPr>
              <w:pStyle w:val="128"/>
              <w:adjustRightInd w:val="0"/>
              <w:snapToGrid w:val="0"/>
              <w:spacing w:beforeLines="0" w:afterLines="0"/>
              <w:jc w:val="center"/>
              <w:rPr>
                <w:rFonts w:ascii="Times New Roman" w:hAnsi="Times New Roman"/>
                <w:b/>
              </w:rPr>
            </w:pPr>
            <w:r>
              <w:rPr>
                <w:rFonts w:hint="eastAsia" w:ascii="Times New Roman" w:hAnsi="Times New Roman" w:eastAsia="宋体"/>
                <w:b/>
              </w:rPr>
              <w:t>6</w:t>
            </w:r>
            <w:r>
              <w:rPr>
                <w:rFonts w:hint="eastAsia" w:ascii="Times New Roman" w:hAnsi="Times New Roman"/>
                <w:b/>
              </w:rPr>
              <w:t>套</w:t>
            </w:r>
          </w:p>
        </w:tc>
        <w:tc>
          <w:tcPr>
            <w:tcW w:w="2439" w:type="pct"/>
            <w:vAlign w:val="center"/>
          </w:tcPr>
          <w:p>
            <w:pPr>
              <w:pStyle w:val="128"/>
              <w:adjustRightInd w:val="0"/>
              <w:snapToGrid w:val="0"/>
              <w:spacing w:beforeLines="0" w:afterLines="0"/>
              <w:jc w:val="left"/>
              <w:rPr>
                <w:rFonts w:ascii="Times New Roman" w:hAnsi="Times New Roman"/>
                <w:b/>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jc w:val="center"/>
              <w:rPr>
                <w:rFonts w:ascii="Times New Roman" w:hAnsi="Times New Roman"/>
              </w:rPr>
            </w:pPr>
          </w:p>
        </w:tc>
        <w:tc>
          <w:tcPr>
            <w:tcW w:w="1488" w:type="pct"/>
            <w:vAlign w:val="center"/>
          </w:tcPr>
          <w:p>
            <w:pPr>
              <w:pStyle w:val="128"/>
              <w:adjustRightInd w:val="0"/>
              <w:snapToGrid w:val="0"/>
              <w:spacing w:beforeLines="0" w:afterLines="0"/>
              <w:rPr>
                <w:rFonts w:hint="default" w:ascii="Times New Roman" w:hAnsi="Times New Roman" w:eastAsiaTheme="minorEastAsia"/>
                <w:szCs w:val="28"/>
                <w:lang w:val="en-US" w:eastAsia="zh-CN"/>
              </w:rPr>
            </w:pPr>
            <w:r>
              <w:rPr>
                <w:rFonts w:hint="eastAsia" w:ascii="Times New Roman" w:hAnsi="Times New Roman"/>
                <w:szCs w:val="28"/>
                <w:lang w:val="en-US" w:eastAsia="zh-CN"/>
              </w:rPr>
              <w:t>RTPC实时机</w:t>
            </w:r>
          </w:p>
        </w:tc>
        <w:tc>
          <w:tcPr>
            <w:tcW w:w="513"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模拟电压采集板卡</w:t>
            </w:r>
          </w:p>
        </w:tc>
        <w:tc>
          <w:tcPr>
            <w:tcW w:w="513"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1"/>
              </w:rPr>
            </w:pPr>
            <w:r>
              <w:rPr>
                <w:rFonts w:hint="eastAsia" w:ascii="Times New Roman" w:hAnsi="Times New Roman"/>
                <w:szCs w:val="21"/>
              </w:rPr>
              <w:t>模拟电压输出板卡</w:t>
            </w:r>
          </w:p>
        </w:tc>
        <w:tc>
          <w:tcPr>
            <w:tcW w:w="513" w:type="pct"/>
            <w:vAlign w:val="center"/>
          </w:tcPr>
          <w:p>
            <w:pPr>
              <w:pStyle w:val="128"/>
              <w:adjustRightInd w:val="0"/>
              <w:snapToGrid w:val="0"/>
              <w:spacing w:beforeLines="0" w:afterLines="0"/>
              <w:jc w:val="center"/>
              <w:rPr>
                <w:rFonts w:ascii="Times New Roman" w:hAnsi="Times New Roman"/>
                <w:szCs w:val="21"/>
              </w:rPr>
            </w:pPr>
            <w:r>
              <w:rPr>
                <w:rFonts w:hint="eastAsia" w:ascii="Times New Roman" w:hAnsi="Times New Roman" w:eastAsia="宋体"/>
                <w:szCs w:val="21"/>
              </w:rPr>
              <w:t>6</w:t>
            </w:r>
            <w:r>
              <w:rPr>
                <w:rFonts w:hint="eastAsia" w:ascii="Times New Roman" w:hAnsi="Times New Roman"/>
                <w:szCs w:val="21"/>
              </w:rPr>
              <w:t>套</w:t>
            </w:r>
          </w:p>
        </w:tc>
        <w:tc>
          <w:tcPr>
            <w:tcW w:w="2439" w:type="pct"/>
          </w:tcPr>
          <w:p>
            <w:pPr>
              <w:rPr>
                <w:rFonts w:ascii="Times New Roman" w:hAnsi="Times New Roman"/>
              </w:rPr>
            </w:pPr>
            <w:r>
              <w:rPr>
                <w:rFonts w:hint="eastAsia" w:ascii="Times New Roman" w:hAnsi="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1"/>
              </w:rPr>
            </w:pPr>
            <w:r>
              <w:rPr>
                <w:rFonts w:hint="eastAsia" w:ascii="Times New Roman" w:hAnsi="Times New Roman"/>
                <w:szCs w:val="21"/>
              </w:rPr>
              <w:t>multi DIO板卡</w:t>
            </w:r>
          </w:p>
        </w:tc>
        <w:tc>
          <w:tcPr>
            <w:tcW w:w="513" w:type="pct"/>
            <w:vAlign w:val="center"/>
          </w:tcPr>
          <w:p>
            <w:pPr>
              <w:pStyle w:val="128"/>
              <w:adjustRightInd w:val="0"/>
              <w:snapToGrid w:val="0"/>
              <w:spacing w:beforeLines="0" w:afterLines="0"/>
              <w:jc w:val="center"/>
              <w:rPr>
                <w:rFonts w:ascii="Times New Roman" w:hAnsi="Times New Roman"/>
                <w:szCs w:val="21"/>
              </w:rPr>
            </w:pPr>
            <w:r>
              <w:rPr>
                <w:rFonts w:hint="eastAsia" w:ascii="Times New Roman" w:hAnsi="Times New Roman" w:eastAsia="宋体"/>
                <w:szCs w:val="21"/>
              </w:rPr>
              <w:t>6</w:t>
            </w:r>
            <w:r>
              <w:rPr>
                <w:rFonts w:hint="eastAsia" w:ascii="Times New Roman" w:hAnsi="Times New Roman"/>
                <w:szCs w:val="21"/>
              </w:rPr>
              <w:t>套</w:t>
            </w:r>
          </w:p>
        </w:tc>
        <w:tc>
          <w:tcPr>
            <w:tcW w:w="2439" w:type="pct"/>
          </w:tcPr>
          <w:p>
            <w:pPr>
              <w:rPr>
                <w:rFonts w:ascii="Times New Roman" w:hAnsi="Times New Roman"/>
              </w:rPr>
            </w:pPr>
            <w:r>
              <w:rPr>
                <w:rFonts w:hint="eastAsia" w:ascii="Times New Roman" w:hAnsi="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1"/>
              </w:rPr>
            </w:pPr>
            <w:r>
              <w:rPr>
                <w:rFonts w:hint="eastAsia" w:ascii="Times New Roman" w:hAnsi="Times New Roman"/>
                <w:szCs w:val="21"/>
              </w:rPr>
              <w:t>总线通信板卡</w:t>
            </w:r>
          </w:p>
        </w:tc>
        <w:tc>
          <w:tcPr>
            <w:tcW w:w="513" w:type="pct"/>
            <w:vAlign w:val="center"/>
          </w:tcPr>
          <w:p>
            <w:pPr>
              <w:pStyle w:val="128"/>
              <w:adjustRightInd w:val="0"/>
              <w:snapToGrid w:val="0"/>
              <w:spacing w:beforeLines="0" w:afterLines="0"/>
              <w:jc w:val="center"/>
              <w:rPr>
                <w:rFonts w:ascii="Times New Roman" w:hAnsi="Times New Roman"/>
                <w:szCs w:val="21"/>
              </w:rPr>
            </w:pPr>
            <w:r>
              <w:rPr>
                <w:rFonts w:hint="eastAsia" w:ascii="Times New Roman" w:hAnsi="Times New Roman" w:eastAsia="宋体"/>
                <w:szCs w:val="21"/>
              </w:rPr>
              <w:t>6</w:t>
            </w:r>
            <w:r>
              <w:rPr>
                <w:rFonts w:hint="eastAsia" w:ascii="Times New Roman" w:hAnsi="Times New Roman"/>
                <w:szCs w:val="21"/>
              </w:rPr>
              <w:t>套</w:t>
            </w:r>
          </w:p>
        </w:tc>
        <w:tc>
          <w:tcPr>
            <w:tcW w:w="2439" w:type="pct"/>
          </w:tcPr>
          <w:p>
            <w:pPr>
              <w:rPr>
                <w:rFonts w:ascii="Times New Roman" w:hAnsi="Times New Roman"/>
              </w:rPr>
            </w:pPr>
            <w:r>
              <w:rPr>
                <w:rFonts w:hint="eastAsia" w:ascii="Times New Roman" w:hAnsi="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ascii="Times New Roman" w:hAnsi="Times New Roman"/>
                <w:szCs w:val="21"/>
              </w:rPr>
            </w:pPr>
            <w:r>
              <w:rPr>
                <w:rFonts w:hint="eastAsia" w:ascii="Times New Roman" w:hAnsi="Times New Roman"/>
                <w:szCs w:val="21"/>
              </w:rPr>
              <w:t>电阻仿真箱</w:t>
            </w:r>
          </w:p>
        </w:tc>
        <w:tc>
          <w:tcPr>
            <w:tcW w:w="513" w:type="pct"/>
            <w:vAlign w:val="center"/>
          </w:tcPr>
          <w:p>
            <w:pPr>
              <w:pStyle w:val="128"/>
              <w:adjustRightInd w:val="0"/>
              <w:snapToGrid w:val="0"/>
              <w:spacing w:beforeLines="0" w:afterLines="0"/>
              <w:jc w:val="center"/>
              <w:rPr>
                <w:rFonts w:ascii="Times New Roman" w:hAnsi="Times New Roman"/>
                <w:szCs w:val="21"/>
              </w:rPr>
            </w:pPr>
            <w:r>
              <w:rPr>
                <w:rFonts w:hint="eastAsia" w:ascii="Times New Roman" w:hAnsi="Times New Roman" w:eastAsia="宋体"/>
                <w:szCs w:val="21"/>
              </w:rPr>
              <w:t>6</w:t>
            </w:r>
            <w:r>
              <w:rPr>
                <w:rFonts w:hint="eastAsia" w:ascii="Times New Roman" w:hAnsi="Times New Roman"/>
                <w:szCs w:val="21"/>
              </w:rPr>
              <w:t>套</w:t>
            </w:r>
          </w:p>
        </w:tc>
        <w:tc>
          <w:tcPr>
            <w:tcW w:w="2439" w:type="pct"/>
          </w:tcPr>
          <w:p>
            <w:pPr>
              <w:rPr>
                <w:rFonts w:ascii="Times New Roman" w:hAnsi="Times New Roman"/>
              </w:rPr>
            </w:pPr>
            <w:r>
              <w:rPr>
                <w:rFonts w:hint="eastAsia" w:ascii="Times New Roman" w:hAnsi="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ascii="Times New Roman" w:hAnsi="Times New Roman"/>
                <w:szCs w:val="28"/>
              </w:rPr>
            </w:pPr>
            <w:r>
              <w:rPr>
                <w:rFonts w:hint="eastAsia" w:ascii="Times New Roman" w:hAnsi="Times New Roman"/>
                <w:szCs w:val="28"/>
              </w:rPr>
              <w:t>信号生成板卡</w:t>
            </w:r>
          </w:p>
        </w:tc>
        <w:tc>
          <w:tcPr>
            <w:tcW w:w="513"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ascii="Times New Roman" w:hAnsi="Times New Roman"/>
                <w:szCs w:val="28"/>
              </w:rPr>
            </w:pPr>
            <w:r>
              <w:rPr>
                <w:rFonts w:hint="eastAsia" w:ascii="Times New Roman" w:hAnsi="Times New Roman"/>
                <w:szCs w:val="28"/>
              </w:rPr>
              <w:t>数字输出板卡</w:t>
            </w:r>
          </w:p>
        </w:tc>
        <w:tc>
          <w:tcPr>
            <w:tcW w:w="513"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ascii="Times New Roman" w:hAnsi="Times New Roman"/>
                <w:szCs w:val="28"/>
              </w:rPr>
            </w:pPr>
            <w:r>
              <w:rPr>
                <w:rFonts w:hint="eastAsia" w:ascii="Times New Roman" w:hAnsi="Times New Roman"/>
                <w:szCs w:val="28"/>
              </w:rPr>
              <w:t>轮速仿真板卡</w:t>
            </w:r>
          </w:p>
        </w:tc>
        <w:tc>
          <w:tcPr>
            <w:tcW w:w="513"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上电时序模拟板卡</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1"/>
                <w:lang w:val="en-US" w:eastAsia="zh-CN" w:bidi="ar-SA"/>
              </w:rPr>
            </w:pPr>
            <w:r>
              <w:rPr>
                <w:rFonts w:hint="eastAsia" w:ascii="Times New Roman" w:hAnsi="Times New Roman" w:eastAsia="宋体"/>
                <w:szCs w:val="21"/>
              </w:rPr>
              <w:t>6</w:t>
            </w:r>
            <w:r>
              <w:rPr>
                <w:rFonts w:hint="eastAsia" w:ascii="Times New Roman" w:hAnsi="Times New Roman"/>
                <w:szCs w:val="21"/>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Relay_2A</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故障注入板卡1</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故障注入板卡2</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电感型位置传感器模拟</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1"/>
                <w:lang w:val="en-US" w:eastAsia="zh-CN" w:bidi="ar-SA"/>
              </w:rPr>
            </w:pPr>
            <w:r>
              <w:rPr>
                <w:rFonts w:hint="eastAsia" w:ascii="Times New Roman" w:hAnsi="Times New Roman" w:eastAsia="宋体"/>
                <w:szCs w:val="21"/>
              </w:rPr>
              <w:t>6</w:t>
            </w:r>
            <w:r>
              <w:rPr>
                <w:rFonts w:hint="eastAsia" w:ascii="Times New Roman" w:hAnsi="Times New Roman"/>
                <w:szCs w:val="21"/>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信号生成板卡</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上电控制卡</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低压程控电源</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电流采集</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1"/>
                <w:lang w:val="en-US" w:eastAsia="zh-CN" w:bidi="ar-SA"/>
              </w:rPr>
            </w:pPr>
            <w:r>
              <w:rPr>
                <w:rFonts w:hint="eastAsia" w:ascii="Times New Roman" w:hAnsi="Times New Roman" w:eastAsia="宋体"/>
                <w:szCs w:val="21"/>
              </w:rPr>
              <w:t>6</w:t>
            </w:r>
            <w:r>
              <w:rPr>
                <w:rFonts w:hint="eastAsia" w:ascii="Times New Roman" w:hAnsi="Times New Roman"/>
                <w:szCs w:val="21"/>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上位机</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BOB</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7"/>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ind w:hanging="11"/>
              <w:rPr>
                <w:rFonts w:hint="eastAsia" w:ascii="Times New Roman" w:hAnsi="Times New Roman"/>
                <w:szCs w:val="28"/>
              </w:rPr>
            </w:pPr>
            <w:r>
              <w:rPr>
                <w:rFonts w:hint="eastAsia" w:ascii="Times New Roman" w:hAnsi="Times New Roman"/>
                <w:szCs w:val="28"/>
              </w:rPr>
              <w:t>电气系统总成</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r>
              <w:rPr>
                <w:rFonts w:hint="eastAsia" w:ascii="Times New Roman" w:hAnsi="Times New Roman"/>
                <w:szCs w:val="21"/>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b/>
              </w:rPr>
              <w:t>2</w:t>
            </w:r>
          </w:p>
        </w:tc>
        <w:tc>
          <w:tcPr>
            <w:tcW w:w="1488" w:type="pct"/>
            <w:vAlign w:val="center"/>
          </w:tcPr>
          <w:p>
            <w:pPr>
              <w:pStyle w:val="128"/>
              <w:adjustRightInd w:val="0"/>
              <w:snapToGrid w:val="0"/>
              <w:spacing w:beforeLines="0" w:afterLines="0"/>
              <w:rPr>
                <w:rFonts w:hint="default" w:ascii="Times New Roman" w:hAnsi="Times New Roman" w:eastAsiaTheme="minorEastAsia"/>
                <w:szCs w:val="28"/>
                <w:lang w:val="en-US" w:eastAsia="zh-CN"/>
              </w:rPr>
            </w:pPr>
            <w:r>
              <w:rPr>
                <w:rFonts w:hint="eastAsia" w:ascii="Times New Roman" w:hAnsi="Times New Roman"/>
                <w:b/>
                <w:szCs w:val="28"/>
                <w:lang w:val="en-US" w:eastAsia="zh-CN"/>
              </w:rPr>
              <w:t>机械平台</w:t>
            </w:r>
          </w:p>
        </w:tc>
        <w:tc>
          <w:tcPr>
            <w:tcW w:w="513" w:type="pct"/>
            <w:vAlign w:val="center"/>
          </w:tcPr>
          <w:p>
            <w:pPr>
              <w:pStyle w:val="128"/>
              <w:adjustRightInd w:val="0"/>
              <w:snapToGrid w:val="0"/>
              <w:spacing w:beforeLines="0" w:afterLines="0"/>
              <w:jc w:val="center"/>
              <w:rPr>
                <w:rFonts w:ascii="Times New Roman" w:hAnsi="Times New Roman"/>
                <w:b/>
              </w:rPr>
            </w:pPr>
            <w:r>
              <w:rPr>
                <w:rFonts w:hint="eastAsia" w:ascii="Times New Roman" w:hAnsi="Times New Roman" w:eastAsia="宋体"/>
                <w:b/>
              </w:rPr>
              <w:t>6</w:t>
            </w:r>
            <w:r>
              <w:rPr>
                <w:rFonts w:hint="eastAsia" w:ascii="Times New Roman" w:hAnsi="Times New Roman"/>
                <w:b/>
              </w:rPr>
              <w:t>套</w:t>
            </w:r>
          </w:p>
        </w:tc>
        <w:tc>
          <w:tcPr>
            <w:tcW w:w="2439" w:type="pct"/>
            <w:vAlign w:val="center"/>
          </w:tcPr>
          <w:p>
            <w:pPr>
              <w:pStyle w:val="128"/>
              <w:adjustRightInd w:val="0"/>
              <w:snapToGrid w:val="0"/>
              <w:spacing w:beforeLines="0" w:afterLines="0"/>
              <w:jc w:val="left"/>
              <w:rPr>
                <w:rFonts w:ascii="Times New Roman" w:hAnsi="Times New Roman"/>
                <w:b/>
                <w:szCs w:val="21"/>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8"/>
              </w:numPr>
              <w:adjustRightInd w:val="0"/>
              <w:snapToGrid w:val="0"/>
              <w:spacing w:beforeLines="0" w:afterLines="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测试机柜</w:t>
            </w:r>
          </w:p>
        </w:tc>
        <w:tc>
          <w:tcPr>
            <w:tcW w:w="513" w:type="pct"/>
            <w:vAlign w:val="center"/>
          </w:tcPr>
          <w:p>
            <w:pPr>
              <w:pStyle w:val="128"/>
              <w:adjustRightInd w:val="0"/>
              <w:snapToGrid w:val="0"/>
              <w:spacing w:beforeLines="0" w:afterLines="0"/>
              <w:jc w:val="center"/>
              <w:rPr>
                <w:rFonts w:ascii="Times New Roman" w:hAnsi="Times New Roman"/>
                <w:szCs w:val="28"/>
              </w:rPr>
            </w:pPr>
            <w:r>
              <w:rPr>
                <w:rFonts w:hint="eastAsia" w:ascii="Times New Roman" w:hAnsi="Times New Roman" w:eastAsia="宋体"/>
                <w:szCs w:val="28"/>
              </w:rPr>
              <w:t>6</w:t>
            </w:r>
            <w:r>
              <w:rPr>
                <w:rFonts w:hint="eastAsia" w:ascii="Times New Roman" w:hAnsi="Times New Roman"/>
                <w:szCs w:val="28"/>
              </w:rPr>
              <w:t>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8"/>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上电控制箱</w:t>
            </w:r>
          </w:p>
        </w:tc>
        <w:tc>
          <w:tcPr>
            <w:tcW w:w="513" w:type="pct"/>
            <w:vAlign w:val="center"/>
          </w:tcPr>
          <w:p>
            <w:pPr>
              <w:pStyle w:val="128"/>
              <w:adjustRightInd w:val="0"/>
              <w:snapToGrid w:val="0"/>
              <w:spacing w:beforeLines="0" w:afterLines="0"/>
              <w:jc w:val="center"/>
              <w:rPr>
                <w:rFonts w:ascii="Times New Roman" w:hAnsi="Times New Roman"/>
                <w:szCs w:val="28"/>
              </w:rPr>
            </w:pPr>
            <w:r>
              <w:rPr>
                <w:rFonts w:hint="eastAsia" w:ascii="Times New Roman" w:hAnsi="Times New Roman" w:eastAsia="宋体"/>
                <w:szCs w:val="28"/>
              </w:rPr>
              <w:t>6</w:t>
            </w:r>
            <w:r>
              <w:rPr>
                <w:rFonts w:hint="eastAsia" w:ascii="Times New Roman" w:hAnsi="Times New Roman"/>
                <w:szCs w:val="28"/>
              </w:rPr>
              <w:t>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8"/>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其他损耗</w:t>
            </w:r>
          </w:p>
        </w:tc>
        <w:tc>
          <w:tcPr>
            <w:tcW w:w="513" w:type="pct"/>
            <w:vAlign w:val="center"/>
          </w:tcPr>
          <w:p>
            <w:pPr>
              <w:pStyle w:val="128"/>
              <w:adjustRightInd w:val="0"/>
              <w:snapToGrid w:val="0"/>
              <w:spacing w:beforeLines="0" w:afterLines="0"/>
              <w:jc w:val="center"/>
              <w:rPr>
                <w:rFonts w:ascii="Times New Roman" w:hAnsi="Times New Roman"/>
                <w:szCs w:val="28"/>
              </w:rPr>
            </w:pPr>
            <w:r>
              <w:rPr>
                <w:rFonts w:hint="eastAsia" w:ascii="Times New Roman" w:hAnsi="Times New Roman" w:eastAsia="宋体"/>
                <w:szCs w:val="28"/>
              </w:rPr>
              <w:t>6</w:t>
            </w:r>
            <w:r>
              <w:rPr>
                <w:rFonts w:hint="eastAsia" w:ascii="Times New Roman" w:hAnsi="Times New Roman"/>
                <w:szCs w:val="28"/>
              </w:rPr>
              <w:t>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8"/>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hint="eastAsia" w:ascii="Times New Roman" w:hAnsi="Times New Roman"/>
                <w:szCs w:val="28"/>
              </w:rPr>
            </w:pPr>
            <w:r>
              <w:rPr>
                <w:rFonts w:hint="eastAsia" w:ascii="Times New Roman" w:hAnsi="Times New Roman"/>
                <w:szCs w:val="28"/>
              </w:rPr>
              <w:t>转接线束及接插件</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8"/>
                <w:lang w:val="en-US" w:eastAsia="zh-CN" w:bidi="ar-SA"/>
              </w:rPr>
            </w:pPr>
            <w:r>
              <w:rPr>
                <w:rFonts w:hint="eastAsia" w:ascii="Times New Roman" w:hAnsi="Times New Roman" w:eastAsia="宋体"/>
                <w:szCs w:val="28"/>
              </w:rPr>
              <w:t>6</w:t>
            </w:r>
            <w:r>
              <w:rPr>
                <w:rFonts w:hint="eastAsia" w:ascii="Times New Roman" w:hAnsi="Times New Roman"/>
                <w:szCs w:val="28"/>
              </w:rPr>
              <w:t>套</w:t>
            </w:r>
          </w:p>
        </w:tc>
        <w:tc>
          <w:tcPr>
            <w:tcW w:w="2439" w:type="pct"/>
            <w:vAlign w:val="center"/>
          </w:tcPr>
          <w:p>
            <w:pPr>
              <w:pStyle w:val="128"/>
              <w:adjustRightInd w:val="0"/>
              <w:snapToGrid w:val="0"/>
              <w:spacing w:beforeLines="0" w:afterLines="0"/>
              <w:jc w:val="left"/>
              <w:rPr>
                <w:rFonts w:hint="eastAsia" w:ascii="Times New Roman" w:hAnsi="Times New Roman" w:eastAsiaTheme="minorEastAsia" w:cstheme="minorBidi"/>
                <w:kern w:val="2"/>
                <w:sz w:val="21"/>
                <w:szCs w:val="21"/>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8"/>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IO模型生成工具</w:t>
            </w:r>
          </w:p>
        </w:tc>
        <w:tc>
          <w:tcPr>
            <w:tcW w:w="513" w:type="pct"/>
            <w:vAlign w:val="center"/>
          </w:tcPr>
          <w:p>
            <w:pPr>
              <w:pStyle w:val="128"/>
              <w:adjustRightInd w:val="0"/>
              <w:snapToGrid w:val="0"/>
              <w:spacing w:beforeLines="0" w:afterLines="0"/>
              <w:jc w:val="center"/>
              <w:rPr>
                <w:rFonts w:ascii="Times New Roman" w:hAnsi="Times New Roman"/>
                <w:szCs w:val="28"/>
              </w:rPr>
            </w:pPr>
            <w:r>
              <w:rPr>
                <w:rFonts w:hint="eastAsia" w:ascii="Times New Roman" w:hAnsi="Times New Roman" w:eastAsia="宋体"/>
                <w:szCs w:val="28"/>
              </w:rPr>
              <w:t>6</w:t>
            </w:r>
            <w:r>
              <w:rPr>
                <w:rFonts w:hint="eastAsia" w:ascii="Times New Roman" w:hAnsi="Times New Roman"/>
                <w:szCs w:val="28"/>
              </w:rPr>
              <w:t>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ascii="Times New Roman" w:hAnsi="Times New Roman"/>
                <w:b/>
              </w:rPr>
            </w:pPr>
            <w:r>
              <w:rPr>
                <w:rFonts w:hint="eastAsia" w:ascii="Times New Roman" w:hAnsi="Times New Roman"/>
                <w:b/>
              </w:rPr>
              <w:t>3</w:t>
            </w:r>
          </w:p>
        </w:tc>
        <w:tc>
          <w:tcPr>
            <w:tcW w:w="1488" w:type="pct"/>
            <w:vAlign w:val="center"/>
          </w:tcPr>
          <w:p>
            <w:pPr>
              <w:pStyle w:val="128"/>
              <w:adjustRightInd w:val="0"/>
              <w:snapToGrid w:val="0"/>
              <w:spacing w:beforeLines="0" w:afterLines="0"/>
              <w:rPr>
                <w:rFonts w:hint="default" w:ascii="Times New Roman" w:hAnsi="Times New Roman" w:eastAsiaTheme="minorEastAsia"/>
                <w:b/>
                <w:szCs w:val="28"/>
                <w:lang w:val="en-US" w:eastAsia="zh-CN"/>
              </w:rPr>
            </w:pPr>
            <w:r>
              <w:rPr>
                <w:rFonts w:hint="eastAsia" w:ascii="Times New Roman" w:hAnsi="Times New Roman"/>
                <w:b/>
                <w:szCs w:val="28"/>
                <w:lang w:val="en-US" w:eastAsia="zh-CN"/>
              </w:rPr>
              <w:t>软件平台</w:t>
            </w:r>
          </w:p>
        </w:tc>
        <w:tc>
          <w:tcPr>
            <w:tcW w:w="513" w:type="pct"/>
            <w:vAlign w:val="center"/>
          </w:tcPr>
          <w:p>
            <w:pPr>
              <w:pStyle w:val="128"/>
              <w:adjustRightInd w:val="0"/>
              <w:snapToGrid w:val="0"/>
              <w:spacing w:beforeLines="0" w:afterLines="0"/>
              <w:jc w:val="center"/>
              <w:rPr>
                <w:rFonts w:ascii="Times New Roman" w:hAnsi="Times New Roman"/>
                <w:b/>
                <w:szCs w:val="28"/>
              </w:rPr>
            </w:pPr>
          </w:p>
        </w:tc>
        <w:tc>
          <w:tcPr>
            <w:tcW w:w="2439" w:type="pct"/>
            <w:vAlign w:val="center"/>
          </w:tcPr>
          <w:p>
            <w:pPr>
              <w:pStyle w:val="128"/>
              <w:adjustRightInd w:val="0"/>
              <w:snapToGrid w:val="0"/>
              <w:spacing w:beforeLines="0" w:afterLines="0"/>
              <w:jc w:val="left"/>
              <w:rPr>
                <w:rFonts w:ascii="Times New Roman" w:hAnsi="Times New Roman"/>
                <w:b/>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9"/>
              </w:numPr>
              <w:adjustRightInd w:val="0"/>
              <w:snapToGrid w:val="0"/>
              <w:spacing w:beforeLines="0" w:afterLines="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工程配置软件</w:t>
            </w:r>
          </w:p>
        </w:tc>
        <w:tc>
          <w:tcPr>
            <w:tcW w:w="513"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9"/>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试验管理软件</w:t>
            </w:r>
          </w:p>
        </w:tc>
        <w:tc>
          <w:tcPr>
            <w:tcW w:w="513" w:type="pct"/>
            <w:vAlign w:val="center"/>
          </w:tcPr>
          <w:p>
            <w:pPr>
              <w:pStyle w:val="128"/>
              <w:adjustRightInd w:val="0"/>
              <w:snapToGrid w:val="0"/>
              <w:spacing w:beforeLines="0" w:afterLines="0"/>
              <w:jc w:val="center"/>
              <w:rPr>
                <w:rFonts w:ascii="Times New Roman" w:hAnsi="Times New Roman"/>
                <w:highlight w:val="yellow"/>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9"/>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hint="eastAsia" w:ascii="Times New Roman" w:hAnsi="Times New Roman"/>
                <w:szCs w:val="28"/>
              </w:rPr>
            </w:pPr>
            <w:r>
              <w:rPr>
                <w:rFonts w:hint="eastAsia" w:ascii="Times New Roman" w:hAnsi="Times New Roman"/>
                <w:szCs w:val="28"/>
              </w:rPr>
              <w:t>自动测试软件</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numPr>
                <w:ilvl w:val="0"/>
                <w:numId w:val="39"/>
              </w:numPr>
              <w:adjustRightInd w:val="0"/>
              <w:snapToGrid w:val="0"/>
              <w:spacing w:beforeLines="0" w:afterLines="0"/>
              <w:ind w:left="0" w:firstLine="0"/>
              <w:jc w:val="center"/>
              <w:rPr>
                <w:rFonts w:ascii="Times New Roman" w:hAnsi="Times New Roman"/>
              </w:rPr>
            </w:pPr>
          </w:p>
        </w:tc>
        <w:tc>
          <w:tcPr>
            <w:tcW w:w="1488" w:type="pct"/>
            <w:vAlign w:val="center"/>
          </w:tcPr>
          <w:p>
            <w:pPr>
              <w:pStyle w:val="128"/>
              <w:adjustRightInd w:val="0"/>
              <w:snapToGrid w:val="0"/>
              <w:spacing w:beforeLines="0" w:afterLines="0"/>
              <w:rPr>
                <w:rFonts w:hint="eastAsia" w:ascii="Times New Roman" w:hAnsi="Times New Roman"/>
                <w:szCs w:val="28"/>
              </w:rPr>
            </w:pPr>
            <w:r>
              <w:rPr>
                <w:rFonts w:hint="eastAsia" w:ascii="Times New Roman" w:hAnsi="Times New Roman"/>
                <w:szCs w:val="28"/>
              </w:rPr>
              <w:t>动力学模型、电池模型、电机模型等</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4"/>
                <w:highlight w:val="yellow"/>
                <w:lang w:val="en-US" w:eastAsia="zh-CN" w:bidi="ar-SA"/>
              </w:rPr>
            </w:pPr>
            <w:r>
              <w:rPr>
                <w:rFonts w:hint="eastAsia" w:ascii="Times New Roman" w:hAnsi="Times New Roman" w:eastAsia="宋体"/>
              </w:rPr>
              <w:t>6</w:t>
            </w:r>
            <w:r>
              <w:rPr>
                <w:rFonts w:hint="eastAsia" w:ascii="Times New Roman" w:hAnsi="Times New Roman"/>
              </w:rPr>
              <w:t>套</w:t>
            </w:r>
          </w:p>
        </w:tc>
        <w:tc>
          <w:tcPr>
            <w:tcW w:w="2439" w:type="pct"/>
            <w:vAlign w:val="center"/>
          </w:tcPr>
          <w:p>
            <w:pPr>
              <w:pStyle w:val="128"/>
              <w:adjustRightInd w:val="0"/>
              <w:snapToGrid w:val="0"/>
              <w:spacing w:beforeLines="0" w:afterLines="0"/>
              <w:jc w:val="left"/>
              <w:rPr>
                <w:rFonts w:hint="eastAsia" w:ascii="Times New Roman" w:hAnsi="Times New Roman" w:eastAsiaTheme="minorEastAsia"/>
                <w:szCs w:val="21"/>
                <w:lang w:eastAsia="zh-CN"/>
              </w:rPr>
            </w:pPr>
            <w:r>
              <w:rPr>
                <w:rFonts w:hint="eastAsia" w:ascii="Times New Roman" w:hAnsi="Times New Roman"/>
                <w:szCs w:val="21"/>
              </w:rPr>
              <w:t>根据招标方需求搭建，需要提供模型方案</w:t>
            </w:r>
            <w:r>
              <w:rPr>
                <w:rFonts w:hint="eastAsia" w:ascii="Times New Roman" w:hAnsi="Times New Roman"/>
                <w:szCs w:val="21"/>
                <w:lang w:eastAsia="zh-CN"/>
              </w:rPr>
              <w:t>。</w:t>
            </w:r>
            <w:r>
              <w:rPr>
                <w:rFonts w:hint="eastAsia" w:ascii="Times New Roman" w:hAnsi="Times New Roman"/>
                <w:szCs w:val="21"/>
              </w:rPr>
              <w:t>需要包含车辆纵向动力学模型及车辆关键部件模型</w:t>
            </w:r>
            <w:r>
              <w:rPr>
                <w:rFonts w:hint="eastAsia" w:ascii="Times New Roman" w:hAnsi="Times New Roman"/>
                <w:szCs w:val="21"/>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ind w:hanging="75"/>
              <w:jc w:val="center"/>
              <w:rPr>
                <w:rFonts w:ascii="Times New Roman" w:hAnsi="Times New Roman"/>
                <w:b/>
              </w:rPr>
            </w:pPr>
            <w:r>
              <w:rPr>
                <w:rFonts w:ascii="Times New Roman" w:hAnsi="Times New Roman"/>
                <w:b/>
              </w:rPr>
              <w:t>4</w:t>
            </w:r>
          </w:p>
        </w:tc>
        <w:tc>
          <w:tcPr>
            <w:tcW w:w="1488" w:type="pct"/>
            <w:vAlign w:val="center"/>
          </w:tcPr>
          <w:p>
            <w:pPr>
              <w:pStyle w:val="128"/>
              <w:adjustRightInd w:val="0"/>
              <w:snapToGrid w:val="0"/>
              <w:spacing w:beforeLines="0" w:afterLines="0"/>
              <w:rPr>
                <w:rFonts w:hint="default" w:ascii="Times New Roman" w:hAnsi="Times New Roman" w:eastAsiaTheme="minorEastAsia"/>
                <w:b/>
                <w:szCs w:val="28"/>
                <w:lang w:val="en-US" w:eastAsia="zh-CN"/>
              </w:rPr>
            </w:pPr>
            <w:r>
              <w:rPr>
                <w:rFonts w:hint="eastAsia" w:ascii="Times New Roman" w:hAnsi="Times New Roman"/>
                <w:b/>
                <w:szCs w:val="28"/>
                <w:lang w:val="en-US" w:eastAsia="zh-CN"/>
              </w:rPr>
              <w:t>服务及其他</w:t>
            </w:r>
          </w:p>
        </w:tc>
        <w:tc>
          <w:tcPr>
            <w:tcW w:w="513" w:type="pct"/>
            <w:vAlign w:val="center"/>
          </w:tcPr>
          <w:p>
            <w:pPr>
              <w:pStyle w:val="128"/>
              <w:adjustRightInd w:val="0"/>
              <w:snapToGrid w:val="0"/>
              <w:spacing w:beforeLines="0" w:afterLines="0"/>
              <w:jc w:val="center"/>
              <w:rPr>
                <w:rFonts w:ascii="Times New Roman" w:hAnsi="Times New Roman"/>
                <w:b/>
              </w:rPr>
            </w:pPr>
          </w:p>
        </w:tc>
        <w:tc>
          <w:tcPr>
            <w:tcW w:w="2439" w:type="pct"/>
            <w:vAlign w:val="center"/>
          </w:tcPr>
          <w:p>
            <w:pPr>
              <w:pStyle w:val="128"/>
              <w:adjustRightInd w:val="0"/>
              <w:snapToGrid w:val="0"/>
              <w:spacing w:beforeLines="0" w:afterLines="0"/>
              <w:jc w:val="left"/>
              <w:rPr>
                <w:rFonts w:ascii="Times New Roman" w:hAnsi="Times New Roman"/>
                <w:b/>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rPr>
              <w:t>4</w:t>
            </w:r>
            <w:r>
              <w:rPr>
                <w:rFonts w:ascii="Times New Roman" w:hAnsi="Times New Roman"/>
              </w:rPr>
              <w:t>.1</w:t>
            </w: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机械设计</w:t>
            </w:r>
          </w:p>
        </w:tc>
        <w:tc>
          <w:tcPr>
            <w:tcW w:w="513" w:type="pct"/>
            <w:vAlign w:val="center"/>
          </w:tcPr>
          <w:p>
            <w:pPr>
              <w:pStyle w:val="128"/>
              <w:adjustRightInd w:val="0"/>
              <w:snapToGrid w:val="0"/>
              <w:spacing w:beforeLines="0" w:afterLines="0"/>
              <w:jc w:val="center"/>
              <w:rPr>
                <w:rFonts w:ascii="Times New Roman" w:hAnsi="Times New Roman"/>
                <w:szCs w:val="28"/>
              </w:rPr>
            </w:pPr>
            <w:r>
              <w:rPr>
                <w:rFonts w:hint="eastAsia" w:ascii="Times New Roman" w:hAnsi="Times New Roman" w:eastAsia="宋体"/>
                <w:szCs w:val="28"/>
                <w:lang w:val="en-US" w:eastAsia="zh-CN"/>
              </w:rPr>
              <w:t>1</w:t>
            </w:r>
            <w:r>
              <w:rPr>
                <w:rFonts w:hint="eastAsia" w:ascii="Times New Roman" w:hAnsi="Times New Roman"/>
                <w:szCs w:val="28"/>
              </w:rPr>
              <w:t>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rPr>
              <w:t>4</w:t>
            </w:r>
            <w:r>
              <w:rPr>
                <w:rFonts w:ascii="Times New Roman" w:hAnsi="Times New Roman"/>
              </w:rPr>
              <w:t>.2</w:t>
            </w: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电气设计</w:t>
            </w:r>
          </w:p>
        </w:tc>
        <w:tc>
          <w:tcPr>
            <w:tcW w:w="513" w:type="pct"/>
            <w:vAlign w:val="center"/>
          </w:tcPr>
          <w:p>
            <w:pPr>
              <w:pStyle w:val="128"/>
              <w:adjustRightInd w:val="0"/>
              <w:snapToGrid w:val="0"/>
              <w:spacing w:beforeLines="0" w:afterLines="0"/>
              <w:jc w:val="center"/>
              <w:rPr>
                <w:rFonts w:ascii="Times New Roman" w:hAnsi="Times New Roman"/>
                <w:szCs w:val="28"/>
              </w:rPr>
            </w:pPr>
            <w:r>
              <w:rPr>
                <w:rFonts w:hint="eastAsia" w:ascii="Times New Roman" w:hAnsi="Times New Roman"/>
                <w:szCs w:val="28"/>
              </w:rPr>
              <w:t>1套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rPr>
              <w:t>4</w:t>
            </w:r>
            <w:r>
              <w:rPr>
                <w:rFonts w:ascii="Times New Roman" w:hAnsi="Times New Roman"/>
              </w:rPr>
              <w:t>.3</w:t>
            </w: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培训费用</w:t>
            </w:r>
          </w:p>
        </w:tc>
        <w:tc>
          <w:tcPr>
            <w:tcW w:w="513" w:type="pct"/>
            <w:vAlign w:val="center"/>
          </w:tcPr>
          <w:p>
            <w:pPr>
              <w:pStyle w:val="128"/>
              <w:adjustRightInd w:val="0"/>
              <w:snapToGrid w:val="0"/>
              <w:spacing w:beforeLines="0" w:afterLines="0"/>
              <w:jc w:val="center"/>
              <w:rPr>
                <w:rFonts w:ascii="Times New Roman" w:hAnsi="Times New Roman"/>
                <w:szCs w:val="28"/>
              </w:rPr>
            </w:pPr>
            <w:r>
              <w:rPr>
                <w:rFonts w:hint="eastAsia" w:ascii="Times New Roman" w:hAnsi="Times New Roman"/>
                <w:szCs w:val="28"/>
              </w:rPr>
              <w:t>1套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ascii="Times New Roman" w:hAnsi="Times New Roman"/>
              </w:rPr>
            </w:pPr>
            <w:r>
              <w:rPr>
                <w:rFonts w:hint="eastAsia" w:ascii="Times New Roman" w:hAnsi="Times New Roman"/>
              </w:rPr>
              <w:t>4</w:t>
            </w:r>
            <w:r>
              <w:rPr>
                <w:rFonts w:ascii="Times New Roman" w:hAnsi="Times New Roman"/>
              </w:rPr>
              <w:t>.4</w:t>
            </w:r>
          </w:p>
        </w:tc>
        <w:tc>
          <w:tcPr>
            <w:tcW w:w="1488" w:type="pct"/>
            <w:vAlign w:val="center"/>
          </w:tcPr>
          <w:p>
            <w:pPr>
              <w:pStyle w:val="128"/>
              <w:adjustRightInd w:val="0"/>
              <w:snapToGrid w:val="0"/>
              <w:spacing w:beforeLines="0" w:afterLines="0"/>
              <w:rPr>
                <w:rFonts w:ascii="Times New Roman" w:hAnsi="Times New Roman"/>
                <w:szCs w:val="28"/>
              </w:rPr>
            </w:pPr>
            <w:r>
              <w:rPr>
                <w:rFonts w:hint="eastAsia" w:ascii="Times New Roman" w:hAnsi="Times New Roman"/>
                <w:szCs w:val="28"/>
              </w:rPr>
              <w:t>集成费</w:t>
            </w:r>
          </w:p>
        </w:tc>
        <w:tc>
          <w:tcPr>
            <w:tcW w:w="513" w:type="pct"/>
            <w:vAlign w:val="center"/>
          </w:tcPr>
          <w:p>
            <w:pPr>
              <w:pStyle w:val="128"/>
              <w:adjustRightInd w:val="0"/>
              <w:snapToGrid w:val="0"/>
              <w:spacing w:beforeLines="0" w:afterLines="0"/>
              <w:jc w:val="center"/>
              <w:rPr>
                <w:rFonts w:ascii="Times New Roman" w:hAnsi="Times New Roman"/>
                <w:szCs w:val="28"/>
              </w:rPr>
            </w:pPr>
            <w:r>
              <w:rPr>
                <w:rFonts w:hint="eastAsia" w:ascii="Times New Roman" w:hAnsi="Times New Roman"/>
                <w:szCs w:val="28"/>
              </w:rPr>
              <w:t>1套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hint="default" w:ascii="Times New Roman" w:hAnsi="Times New Roman" w:eastAsiaTheme="minorEastAsia"/>
                <w:lang w:val="en-US" w:eastAsia="zh-CN"/>
              </w:rPr>
            </w:pPr>
            <w:r>
              <w:rPr>
                <w:rFonts w:hint="eastAsia" w:ascii="Times New Roman" w:hAnsi="Times New Roman"/>
                <w:lang w:val="en-US" w:eastAsia="zh-CN"/>
              </w:rPr>
              <w:t>4.5</w:t>
            </w:r>
          </w:p>
        </w:tc>
        <w:tc>
          <w:tcPr>
            <w:tcW w:w="1488" w:type="pct"/>
            <w:vAlign w:val="center"/>
          </w:tcPr>
          <w:p>
            <w:pPr>
              <w:pStyle w:val="128"/>
              <w:adjustRightInd w:val="0"/>
              <w:snapToGrid w:val="0"/>
              <w:spacing w:beforeLines="0" w:afterLines="0"/>
              <w:rPr>
                <w:rFonts w:hint="eastAsia" w:ascii="Times New Roman" w:hAnsi="Times New Roman"/>
                <w:szCs w:val="28"/>
              </w:rPr>
            </w:pPr>
            <w:r>
              <w:rPr>
                <w:rFonts w:hint="eastAsia" w:ascii="Times New Roman" w:hAnsi="Times New Roman"/>
                <w:szCs w:val="28"/>
              </w:rPr>
              <w:t>激励测试</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8"/>
                <w:lang w:val="en-US" w:eastAsia="zh-CN" w:bidi="ar-SA"/>
              </w:rPr>
            </w:pPr>
            <w:r>
              <w:rPr>
                <w:rFonts w:hint="eastAsia" w:ascii="Times New Roman" w:hAnsi="Times New Roman" w:eastAsia="宋体"/>
                <w:szCs w:val="28"/>
                <w:lang w:val="en-US" w:eastAsia="zh-CN"/>
              </w:rPr>
              <w:t>1</w:t>
            </w:r>
            <w:r>
              <w:rPr>
                <w:rFonts w:hint="eastAsia" w:ascii="Times New Roman" w:hAnsi="Times New Roman"/>
                <w:szCs w:val="28"/>
              </w:rPr>
              <w:t>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hint="default" w:ascii="Times New Roman" w:hAnsi="Times New Roman" w:eastAsiaTheme="minorEastAsia"/>
                <w:lang w:val="en-US" w:eastAsia="zh-CN"/>
              </w:rPr>
            </w:pPr>
            <w:r>
              <w:rPr>
                <w:rFonts w:hint="eastAsia" w:ascii="Times New Roman" w:hAnsi="Times New Roman"/>
                <w:lang w:val="en-US" w:eastAsia="zh-CN"/>
              </w:rPr>
              <w:t>4.6</w:t>
            </w:r>
          </w:p>
        </w:tc>
        <w:tc>
          <w:tcPr>
            <w:tcW w:w="1488" w:type="pct"/>
            <w:vAlign w:val="center"/>
          </w:tcPr>
          <w:p>
            <w:pPr>
              <w:pStyle w:val="128"/>
              <w:adjustRightInd w:val="0"/>
              <w:snapToGrid w:val="0"/>
              <w:spacing w:beforeLines="0" w:afterLines="0"/>
              <w:rPr>
                <w:rFonts w:hint="eastAsia" w:ascii="Times New Roman" w:hAnsi="Times New Roman"/>
                <w:szCs w:val="28"/>
              </w:rPr>
            </w:pPr>
            <w:r>
              <w:rPr>
                <w:rFonts w:hint="eastAsia" w:ascii="Times New Roman" w:hAnsi="Times New Roman"/>
                <w:szCs w:val="28"/>
              </w:rPr>
              <w:t>开环测试</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8"/>
                <w:lang w:val="en-US" w:eastAsia="zh-CN" w:bidi="ar-SA"/>
              </w:rPr>
            </w:pPr>
            <w:r>
              <w:rPr>
                <w:rFonts w:hint="eastAsia" w:ascii="Times New Roman" w:hAnsi="Times New Roman"/>
                <w:szCs w:val="28"/>
              </w:rPr>
              <w:t>1套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hint="default" w:ascii="Times New Roman" w:hAnsi="Times New Roman"/>
                <w:lang w:val="en-US" w:eastAsia="zh-CN"/>
              </w:rPr>
            </w:pPr>
            <w:r>
              <w:rPr>
                <w:rFonts w:hint="eastAsia" w:ascii="Times New Roman" w:hAnsi="Times New Roman"/>
                <w:lang w:val="en-US" w:eastAsia="zh-CN"/>
              </w:rPr>
              <w:t>4.7</w:t>
            </w:r>
          </w:p>
        </w:tc>
        <w:tc>
          <w:tcPr>
            <w:tcW w:w="1488" w:type="pct"/>
            <w:vAlign w:val="center"/>
          </w:tcPr>
          <w:p>
            <w:pPr>
              <w:pStyle w:val="128"/>
              <w:adjustRightInd w:val="0"/>
              <w:snapToGrid w:val="0"/>
              <w:spacing w:beforeLines="0" w:afterLines="0"/>
              <w:rPr>
                <w:rFonts w:hint="eastAsia" w:ascii="Times New Roman" w:hAnsi="Times New Roman"/>
                <w:szCs w:val="28"/>
              </w:rPr>
            </w:pPr>
            <w:r>
              <w:rPr>
                <w:rFonts w:hint="eastAsia" w:ascii="Times New Roman" w:hAnsi="Times New Roman"/>
                <w:szCs w:val="28"/>
              </w:rPr>
              <w:t>闭环测试</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8"/>
                <w:lang w:val="en-US" w:eastAsia="zh-CN" w:bidi="ar-SA"/>
              </w:rPr>
            </w:pPr>
            <w:r>
              <w:rPr>
                <w:rFonts w:hint="eastAsia" w:ascii="Times New Roman" w:hAnsi="Times New Roman"/>
                <w:szCs w:val="28"/>
              </w:rPr>
              <w:t>1套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hint="default" w:ascii="Times New Roman" w:hAnsi="Times New Roman"/>
                <w:lang w:val="en-US" w:eastAsia="zh-CN"/>
              </w:rPr>
            </w:pPr>
            <w:r>
              <w:rPr>
                <w:rFonts w:hint="eastAsia" w:ascii="Times New Roman" w:hAnsi="Times New Roman"/>
                <w:lang w:val="en-US" w:eastAsia="zh-CN"/>
              </w:rPr>
              <w:t>4.8</w:t>
            </w:r>
          </w:p>
        </w:tc>
        <w:tc>
          <w:tcPr>
            <w:tcW w:w="1488" w:type="pct"/>
            <w:vAlign w:val="center"/>
          </w:tcPr>
          <w:p>
            <w:pPr>
              <w:pStyle w:val="128"/>
              <w:adjustRightInd w:val="0"/>
              <w:snapToGrid w:val="0"/>
              <w:spacing w:beforeLines="0" w:afterLines="0"/>
              <w:rPr>
                <w:rFonts w:hint="eastAsia" w:ascii="Times New Roman" w:hAnsi="Times New Roman"/>
                <w:szCs w:val="28"/>
              </w:rPr>
            </w:pPr>
            <w:r>
              <w:rPr>
                <w:rFonts w:hint="eastAsia" w:ascii="Times New Roman" w:hAnsi="Times New Roman"/>
                <w:szCs w:val="28"/>
              </w:rPr>
              <w:t>现场调试</w:t>
            </w:r>
          </w:p>
        </w:tc>
        <w:tc>
          <w:tcPr>
            <w:tcW w:w="513" w:type="pct"/>
            <w:vAlign w:val="center"/>
          </w:tcPr>
          <w:p>
            <w:pPr>
              <w:pStyle w:val="128"/>
              <w:adjustRightInd w:val="0"/>
              <w:snapToGrid w:val="0"/>
              <w:spacing w:beforeLines="0" w:afterLines="0"/>
              <w:jc w:val="center"/>
              <w:rPr>
                <w:rFonts w:hint="eastAsia" w:ascii="Times New Roman" w:hAnsi="Times New Roman" w:eastAsiaTheme="minorEastAsia" w:cstheme="minorBidi"/>
                <w:kern w:val="2"/>
                <w:sz w:val="21"/>
                <w:szCs w:val="28"/>
                <w:lang w:val="en-US" w:eastAsia="zh-CN" w:bidi="ar-SA"/>
              </w:rPr>
            </w:pPr>
            <w:r>
              <w:rPr>
                <w:rFonts w:hint="eastAsia" w:ascii="Times New Roman" w:hAnsi="Times New Roman"/>
                <w:szCs w:val="28"/>
              </w:rPr>
              <w:t>1套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jc w:val="center"/>
              <w:rPr>
                <w:rFonts w:hint="default" w:ascii="Times New Roman" w:hAnsi="Times New Roman"/>
                <w:lang w:val="en-US" w:eastAsia="zh-CN"/>
              </w:rPr>
            </w:pPr>
            <w:r>
              <w:rPr>
                <w:rFonts w:hint="eastAsia" w:ascii="Times New Roman" w:hAnsi="Times New Roman"/>
                <w:lang w:val="en-US" w:eastAsia="zh-CN"/>
              </w:rPr>
              <w:t>4.9</w:t>
            </w:r>
          </w:p>
        </w:tc>
        <w:tc>
          <w:tcPr>
            <w:tcW w:w="1488" w:type="pct"/>
            <w:vAlign w:val="center"/>
          </w:tcPr>
          <w:p>
            <w:pPr>
              <w:pStyle w:val="128"/>
              <w:adjustRightInd w:val="0"/>
              <w:snapToGrid w:val="0"/>
              <w:spacing w:beforeLines="0" w:afterLines="0"/>
              <w:rPr>
                <w:rFonts w:hint="eastAsia" w:ascii="Times New Roman" w:hAnsi="Times New Roman"/>
                <w:szCs w:val="28"/>
              </w:rPr>
            </w:pPr>
            <w:r>
              <w:rPr>
                <w:rFonts w:hint="eastAsia" w:ascii="Times New Roman" w:hAnsi="Times New Roman"/>
                <w:szCs w:val="28"/>
              </w:rPr>
              <w:t>差旅费</w:t>
            </w:r>
          </w:p>
        </w:tc>
        <w:tc>
          <w:tcPr>
            <w:tcW w:w="513" w:type="pct"/>
            <w:vAlign w:val="center"/>
          </w:tcPr>
          <w:p>
            <w:pPr>
              <w:pStyle w:val="128"/>
              <w:adjustRightInd w:val="0"/>
              <w:snapToGrid w:val="0"/>
              <w:spacing w:beforeLines="0" w:afterLines="0"/>
              <w:jc w:val="center"/>
              <w:rPr>
                <w:rFonts w:hint="eastAsia" w:ascii="Times New Roman" w:hAnsi="Times New Roman"/>
                <w:szCs w:val="28"/>
              </w:rPr>
            </w:pPr>
            <w:r>
              <w:rPr>
                <w:rFonts w:hint="eastAsia" w:ascii="Times New Roman" w:hAnsi="Times New Roman"/>
                <w:szCs w:val="28"/>
              </w:rPr>
              <w:t>1套</w:t>
            </w:r>
          </w:p>
        </w:tc>
        <w:tc>
          <w:tcPr>
            <w:tcW w:w="2439" w:type="pct"/>
            <w:vAlign w:val="center"/>
          </w:tcPr>
          <w:p>
            <w:pPr>
              <w:pStyle w:val="128"/>
              <w:adjustRightInd w:val="0"/>
              <w:snapToGrid w:val="0"/>
              <w:spacing w:beforeLines="0" w:afterLines="0"/>
              <w:jc w:val="left"/>
              <w:rPr>
                <w:rFonts w:ascii="Times New Roman" w:hAnsi="Times New Roman"/>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1" w:hRule="atLeast"/>
        </w:trPr>
        <w:tc>
          <w:tcPr>
            <w:tcW w:w="559" w:type="pct"/>
            <w:vAlign w:val="center"/>
          </w:tcPr>
          <w:p>
            <w:pPr>
              <w:pStyle w:val="128"/>
              <w:adjustRightInd w:val="0"/>
              <w:snapToGrid w:val="0"/>
              <w:spacing w:beforeLines="0" w:afterLines="0"/>
              <w:ind w:hanging="75"/>
              <w:jc w:val="center"/>
              <w:rPr>
                <w:rFonts w:hint="eastAsia" w:ascii="Times New Roman" w:hAnsi="Times New Roman" w:eastAsiaTheme="minorEastAsia"/>
                <w:b/>
                <w:lang w:eastAsia="zh-CN"/>
              </w:rPr>
            </w:pPr>
            <w:r>
              <w:rPr>
                <w:rFonts w:hint="eastAsia" w:ascii="Times New Roman" w:hAnsi="Times New Roman"/>
                <w:b/>
                <w:lang w:val="en-US" w:eastAsia="zh-CN"/>
              </w:rPr>
              <w:t>5</w:t>
            </w:r>
          </w:p>
        </w:tc>
        <w:tc>
          <w:tcPr>
            <w:tcW w:w="1488" w:type="pct"/>
            <w:vAlign w:val="center"/>
          </w:tcPr>
          <w:p>
            <w:pPr>
              <w:pStyle w:val="128"/>
              <w:adjustRightInd w:val="0"/>
              <w:snapToGrid w:val="0"/>
              <w:spacing w:beforeLines="0" w:afterLines="0"/>
              <w:rPr>
                <w:rFonts w:hint="default" w:ascii="Times New Roman" w:hAnsi="Times New Roman" w:eastAsiaTheme="minorEastAsia"/>
                <w:b/>
                <w:szCs w:val="28"/>
                <w:lang w:val="en-US" w:eastAsia="zh-CN"/>
              </w:rPr>
            </w:pPr>
            <w:r>
              <w:rPr>
                <w:rFonts w:hint="eastAsia" w:ascii="Times New Roman" w:hAnsi="Times New Roman"/>
                <w:b/>
                <w:szCs w:val="28"/>
                <w:lang w:val="en-US" w:eastAsia="zh-CN"/>
              </w:rPr>
              <w:t>包装运输</w:t>
            </w:r>
          </w:p>
        </w:tc>
        <w:tc>
          <w:tcPr>
            <w:tcW w:w="513" w:type="pct"/>
            <w:vAlign w:val="center"/>
          </w:tcPr>
          <w:p>
            <w:pPr>
              <w:pStyle w:val="128"/>
              <w:adjustRightInd w:val="0"/>
              <w:snapToGrid w:val="0"/>
              <w:spacing w:beforeLines="0" w:afterLines="0"/>
              <w:jc w:val="center"/>
              <w:rPr>
                <w:rFonts w:ascii="Times New Roman" w:hAnsi="Times New Roman"/>
                <w:b/>
              </w:rPr>
            </w:pPr>
          </w:p>
        </w:tc>
        <w:tc>
          <w:tcPr>
            <w:tcW w:w="2439" w:type="pct"/>
            <w:vAlign w:val="center"/>
          </w:tcPr>
          <w:p>
            <w:pPr>
              <w:pStyle w:val="128"/>
              <w:adjustRightInd w:val="0"/>
              <w:snapToGrid w:val="0"/>
              <w:spacing w:beforeLines="0" w:afterLines="0"/>
              <w:jc w:val="left"/>
              <w:rPr>
                <w:rFonts w:ascii="Times New Roman" w:hAnsi="Times New Roman"/>
                <w:b/>
                <w:sz w:val="18"/>
                <w:szCs w:val="18"/>
              </w:rPr>
            </w:pPr>
          </w:p>
        </w:tc>
      </w:tr>
    </w:tbl>
    <w:p>
      <w:pPr>
        <w:spacing w:before="240" w:beforeLines="100" w:line="360" w:lineRule="auto"/>
        <w:ind w:firstLine="482" w:firstLineChars="200"/>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（一）一般界定</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2.包括为保证货物正常安装、调试和验收完成及以前所必需的整套配件、附件及材料、油料、控制软件及程序或指令等。</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如果终验收完成后，投标人有需要收回的配件、附件、材料、油料等，应当在投标文件的技术偏离条款中，予以详细说明；否则视同包括在供货范围之内。</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3.包括货物维护维修所必需的专用工具。</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包括为保证货物自身正常运行所必需的、满足使用地点环境条件的通风、冷却、降温等必需设施。</w:t>
      </w:r>
    </w:p>
    <w:p>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如投标人难以提供或无优势提供以及属于选用配置的，则应当在投标文件的技术偏离条款中，予以详细说明并注明投标报价未包含该部分的货值</w:t>
      </w:r>
      <w:r>
        <w:rPr>
          <w:rFonts w:hint="eastAsia" w:ascii="Times New Roman" w:hAnsi="Times New Roman" w:eastAsia="宋体" w:cs="宋体"/>
          <w:color w:val="000000"/>
          <w:sz w:val="24"/>
          <w:szCs w:val="24"/>
        </w:rPr>
        <w:t>。</w:t>
      </w:r>
    </w:p>
    <w:p>
      <w:pPr>
        <w:spacing w:line="360" w:lineRule="auto"/>
        <w:ind w:firstLine="482" w:firstLineChars="200"/>
        <w:rPr>
          <w:rFonts w:ascii="Times New Roman" w:hAnsi="Times New Roman" w:eastAsia="宋体" w:cs="宋体"/>
          <w:b/>
          <w:color w:val="000000"/>
          <w:sz w:val="24"/>
          <w:szCs w:val="24"/>
        </w:rPr>
      </w:pPr>
      <w:r>
        <w:rPr>
          <w:rFonts w:hint="eastAsia" w:ascii="Times New Roman" w:hAnsi="Times New Roman" w:eastAsia="宋体" w:cs="宋体"/>
          <w:b/>
          <w:color w:val="000000"/>
          <w:sz w:val="24"/>
          <w:szCs w:val="24"/>
        </w:rPr>
        <w:t>（二）供货范围边界界定</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1.买方提供货物所需的建筑物（如厂房等）和构筑物（如混凝土池、砼基础等），包含正常安装施工所需的预埋件（如穿管、预埋螺栓、螺母及垫片）。</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r>
        <w:rPr>
          <w:rFonts w:hint="eastAsia" w:ascii="宋体" w:hAnsi="宋体" w:eastAsia="宋体" w:cs="宋体"/>
          <w:sz w:val="24"/>
          <w:szCs w:val="24"/>
        </w:rPr>
        <w:t>（自设备至接线端之间电源线或电缆，由卖方负责提供）</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如果投标人认为能源系统接口地点以及操控地点之间的货物数量不清或难以界定，应当以书面方式询标或以单价方式报价；否则视同满足招标人要求。</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4.以“交钥匙”方式采购的货物，在满足技术标书本节上述要求之外，同时包括货物正常运行、使用所需要的过桥、护栏、防护网、盖板等辅助设</w:t>
      </w:r>
      <w:r>
        <w:rPr>
          <w:rFonts w:hint="eastAsia" w:ascii="Times New Roman" w:hAnsi="Times New Roman" w:eastAsia="宋体" w:cs="宋体"/>
          <w:color w:val="000000"/>
          <w:sz w:val="24"/>
          <w:szCs w:val="24"/>
        </w:rPr>
        <w:t>。</w:t>
      </w:r>
    </w:p>
    <w:p>
      <w:pPr>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二、备品备件、易损件和专用耗材供货范围</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1.备品备件、易损件和专用耗材是招标人为保证货物质保期之后正常运行一年所自备自用的备品备件、易损件和专用耗材。</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2.供货范围包括易损件和专用耗材的制造图纸及其技术要求等资料，如涉及专有技术或无法提供，应在投标文件中予以澄清或说明</w:t>
      </w:r>
      <w:r>
        <w:rPr>
          <w:rFonts w:hint="eastAsia" w:ascii="Times New Roman" w:hAnsi="Times New Roman" w:eastAsia="宋体" w:cs="宋体"/>
          <w:color w:val="000000"/>
          <w:sz w:val="24"/>
          <w:szCs w:val="24"/>
        </w:rPr>
        <w:t>。</w:t>
      </w:r>
    </w:p>
    <w:p>
      <w:pPr>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三、技术资料供货范围</w:t>
      </w:r>
    </w:p>
    <w:p>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sz w:val="24"/>
          <w:szCs w:val="24"/>
        </w:rPr>
        <w:t>技术资料供货范</w:t>
      </w:r>
      <w:r>
        <w:rPr>
          <w:rFonts w:hint="eastAsia" w:ascii="Times New Roman" w:hAnsi="Times New Roman" w:eastAsia="宋体" w:cs="宋体"/>
          <w:bCs/>
          <w:sz w:val="24"/>
          <w:szCs w:val="24"/>
        </w:rPr>
        <w:t>围包括：</w:t>
      </w:r>
    </w:p>
    <w:p>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1.在合同签订后</w:t>
      </w:r>
      <w:r>
        <w:rPr>
          <w:rFonts w:hint="eastAsia" w:ascii="Times New Roman" w:hAnsi="Times New Roman" w:eastAsia="宋体" w:cs="宋体"/>
          <w:bCs/>
          <w:sz w:val="24"/>
          <w:szCs w:val="24"/>
          <w:u w:val="single"/>
        </w:rPr>
        <w:t xml:space="preserve"> 60 </w:t>
      </w:r>
      <w:r>
        <w:rPr>
          <w:rFonts w:hint="eastAsia" w:ascii="Times New Roman" w:hAnsi="Times New Roman"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2.在预验收前，提供货物各部分的功能描述文件、图片、影像等资料（进口、设备应有中外文对照）。</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在终验收前，提供货物各部分的功能描述文件、图片、影像等资料（进口、设备应有中外文对照），提供为保证货物后续正常运行所需的工装、吊（挂）具明细及其图纸、具体技术要求等资料（如果供货范围包含该部分实物）。</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4.在终验收前，提供确定的维修所需要且买方可以自行采购的外购件、外协件、电气元件及主要原材料的供货厂家明细表。</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5.在终验收后的第一笔货款支付日之前，提供包括货物的备品备件、易损件和专用耗材的图纸及技术参数、技术要求等资料。</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7.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8.本条款所列的技术资料、图片、影像等，投标人应各提供</w:t>
      </w:r>
      <w:r>
        <w:rPr>
          <w:rFonts w:ascii="Times New Roman" w:hAnsi="Times New Roman" w:eastAsia="宋体" w:cs="宋体"/>
          <w:sz w:val="24"/>
          <w:szCs w:val="24"/>
        </w:rPr>
        <w:t>3</w:t>
      </w:r>
      <w:r>
        <w:rPr>
          <w:rFonts w:hint="eastAsia" w:ascii="Times New Roman" w:hAnsi="Times New Roman" w:eastAsia="宋体" w:cs="宋体"/>
          <w:sz w:val="24"/>
          <w:szCs w:val="24"/>
        </w:rPr>
        <w:t>套，其中</w:t>
      </w:r>
      <w:r>
        <w:rPr>
          <w:rFonts w:ascii="Times New Roman" w:hAnsi="Times New Roman" w:eastAsia="宋体" w:cs="宋体"/>
          <w:sz w:val="24"/>
          <w:szCs w:val="24"/>
        </w:rPr>
        <w:t>1</w:t>
      </w:r>
      <w:r>
        <w:rPr>
          <w:rFonts w:hint="eastAsia" w:ascii="Times New Roman" w:hAnsi="Times New Roman" w:eastAsia="宋体" w:cs="宋体"/>
          <w:sz w:val="24"/>
          <w:szCs w:val="24"/>
        </w:rPr>
        <w:t>套为电子版光盘；每份技术文件应装有目录清单。</w:t>
      </w:r>
    </w:p>
    <w:p>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9.本条款所列要求，如招标人认为投标人提供的资料不能满足要求时，有权要求投标人免费补充或增加</w:t>
      </w:r>
      <w:r>
        <w:rPr>
          <w:rFonts w:hint="eastAsia" w:ascii="Times New Roman" w:hAnsi="Times New Roman" w:eastAsia="宋体" w:cs="宋体"/>
          <w:color w:val="000000"/>
          <w:sz w:val="24"/>
          <w:szCs w:val="24"/>
        </w:rPr>
        <w:t>。</w:t>
      </w:r>
    </w:p>
    <w:p>
      <w:pPr>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四、供货范围特别提示</w:t>
      </w:r>
    </w:p>
    <w:p>
      <w:pPr>
        <w:spacing w:line="360" w:lineRule="auto"/>
        <w:ind w:firstLine="480" w:firstLineChars="200"/>
        <w:rPr>
          <w:rFonts w:ascii="Times New Roman" w:hAnsi="Times New Roman" w:eastAsia="宋体" w:cs="宋体"/>
          <w:color w:val="000000"/>
          <w:sz w:val="24"/>
          <w:szCs w:val="24"/>
        </w:rPr>
      </w:pPr>
      <w:r>
        <w:rPr>
          <w:rFonts w:hint="eastAsia" w:ascii="Times New Roman" w:hAnsi="Times New Roman" w:eastAsia="宋体" w:cs="宋体"/>
          <w:sz w:val="24"/>
          <w:szCs w:val="24"/>
        </w:rPr>
        <w:t>如果投标人认为本节所列的供货范围难以满足，则仍需要按照本要求提供，但该部分货物应当在投标报价中单独列明货物名称及品质、货值</w:t>
      </w:r>
      <w:r>
        <w:rPr>
          <w:rFonts w:hint="eastAsia" w:ascii="Times New Roman" w:hAnsi="Times New Roman" w:eastAsia="宋体" w:cs="宋体"/>
          <w:color w:val="000000"/>
          <w:sz w:val="24"/>
          <w:szCs w:val="24"/>
        </w:rPr>
        <w:t>。</w:t>
      </w:r>
    </w:p>
    <w:p>
      <w:pPr>
        <w:spacing w:line="360" w:lineRule="auto"/>
        <w:ind w:firstLine="480" w:firstLineChars="200"/>
        <w:rPr>
          <w:rFonts w:ascii="Times New Roman" w:hAnsi="Times New Roman" w:eastAsia="宋体" w:cs="宋体"/>
          <w:color w:val="000000"/>
          <w:sz w:val="24"/>
          <w:szCs w:val="24"/>
        </w:rPr>
      </w:pPr>
    </w:p>
    <w:p>
      <w:pPr>
        <w:spacing w:line="360" w:lineRule="auto"/>
        <w:ind w:firstLine="480" w:firstLineChars="200"/>
        <w:rPr>
          <w:rFonts w:ascii="Times New Roman" w:hAnsi="Times New Roman" w:eastAsia="宋体" w:cs="宋体"/>
          <w:color w:val="000000"/>
          <w:sz w:val="24"/>
          <w:szCs w:val="24"/>
        </w:rPr>
      </w:pPr>
    </w:p>
    <w:p>
      <w:pPr>
        <w:spacing w:line="360" w:lineRule="auto"/>
        <w:ind w:firstLine="480" w:firstLineChars="200"/>
        <w:rPr>
          <w:rFonts w:ascii="Times New Roman" w:hAnsi="Times New Roman" w:eastAsia="宋体" w:cs="宋体"/>
          <w:color w:val="000000"/>
          <w:sz w:val="24"/>
          <w:szCs w:val="24"/>
        </w:rPr>
      </w:pPr>
    </w:p>
    <w:p>
      <w:pPr>
        <w:spacing w:line="360" w:lineRule="auto"/>
        <w:ind w:firstLine="480" w:firstLineChars="200"/>
        <w:rPr>
          <w:rFonts w:ascii="Times New Roman" w:hAnsi="Times New Roman" w:eastAsia="宋体" w:cs="宋体"/>
          <w:color w:val="000000"/>
          <w:sz w:val="24"/>
          <w:szCs w:val="24"/>
        </w:rPr>
      </w:pPr>
    </w:p>
    <w:p>
      <w:pPr>
        <w:spacing w:line="360" w:lineRule="auto"/>
        <w:ind w:firstLine="480" w:firstLineChars="200"/>
        <w:rPr>
          <w:rFonts w:ascii="Times New Roman" w:hAnsi="Times New Roman" w:eastAsia="宋体" w:cs="宋体"/>
          <w:color w:val="000000"/>
          <w:sz w:val="24"/>
          <w:szCs w:val="24"/>
        </w:rPr>
      </w:pPr>
    </w:p>
    <w:p>
      <w:pPr>
        <w:spacing w:line="360" w:lineRule="auto"/>
        <w:rPr>
          <w:rFonts w:ascii="Times New Roman" w:hAnsi="Times New Roman" w:eastAsia="宋体" w:cs="Times New Roman"/>
          <w:color w:val="000000"/>
          <w:sz w:val="24"/>
          <w:szCs w:val="20"/>
        </w:rPr>
      </w:pPr>
    </w:p>
    <w:p>
      <w:pPr>
        <w:keepNext/>
        <w:keepLines/>
        <w:spacing w:line="360" w:lineRule="auto"/>
        <w:jc w:val="center"/>
        <w:outlineLvl w:val="2"/>
        <w:rPr>
          <w:rFonts w:ascii="Times New Roman" w:hAnsi="Times New Roman" w:eastAsia="宋体" w:cs="宋体"/>
          <w:b/>
          <w:bCs/>
          <w:sz w:val="24"/>
          <w:szCs w:val="32"/>
        </w:rPr>
      </w:pPr>
      <w:r>
        <w:rPr>
          <w:rFonts w:hint="eastAsia" w:ascii="Times New Roman" w:hAnsi="Times New Roman" w:eastAsia="宋体" w:cs="宋体"/>
          <w:b/>
          <w:bCs/>
          <w:sz w:val="24"/>
          <w:szCs w:val="32"/>
        </w:rPr>
        <w:t>第二节  供货方式</w:t>
      </w:r>
    </w:p>
    <w:p>
      <w:pPr>
        <w:spacing w:line="360" w:lineRule="auto"/>
        <w:ind w:firstLine="482" w:firstLineChars="200"/>
        <w:outlineLvl w:val="3"/>
        <w:rPr>
          <w:rFonts w:ascii="Times New Roman" w:hAnsi="Times New Roman" w:eastAsia="宋体" w:cs="宋体"/>
          <w:sz w:val="24"/>
          <w:szCs w:val="24"/>
        </w:rPr>
      </w:pPr>
      <w:r>
        <w:rPr>
          <w:rFonts w:hint="eastAsia" w:ascii="Times New Roman" w:hAnsi="Times New Roman" w:eastAsia="宋体" w:cs="宋体"/>
          <w:b/>
          <w:sz w:val="24"/>
          <w:szCs w:val="24"/>
        </w:rPr>
        <w:t>一、供货方式</w:t>
      </w:r>
    </w:p>
    <w:p>
      <w:pPr>
        <w:spacing w:line="360" w:lineRule="auto"/>
        <w:ind w:firstLine="480" w:firstLineChars="200"/>
        <w:rPr>
          <w:rFonts w:ascii="Times New Roman" w:hAnsi="Times New Roman" w:eastAsia="宋体" w:cs="宋体"/>
          <w:b/>
          <w:i/>
          <w:sz w:val="24"/>
          <w:szCs w:val="24"/>
        </w:rPr>
      </w:pPr>
      <w:r>
        <w:rPr>
          <w:rFonts w:hint="eastAsia" w:ascii="Times New Roman" w:hAnsi="Times New Roman"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pPr>
        <w:spacing w:line="360" w:lineRule="auto"/>
        <w:ind w:firstLine="482" w:firstLineChars="200"/>
        <w:outlineLvl w:val="3"/>
        <w:rPr>
          <w:rFonts w:ascii="Times New Roman" w:hAnsi="Times New Roman" w:eastAsia="宋体" w:cs="宋体"/>
          <w:sz w:val="24"/>
          <w:szCs w:val="24"/>
        </w:rPr>
      </w:pPr>
      <w:r>
        <w:rPr>
          <w:rFonts w:hint="eastAsia" w:ascii="Times New Roman" w:hAnsi="Times New Roman" w:eastAsia="宋体" w:cs="宋体"/>
          <w:b/>
          <w:bCs/>
          <w:sz w:val="24"/>
          <w:szCs w:val="24"/>
        </w:rPr>
        <w:t>二、供货地点：</w:t>
      </w:r>
      <w:r>
        <w:rPr>
          <w:rFonts w:hint="eastAsia" w:ascii="Times New Roman" w:hAnsi="Times New Roman" w:eastAsia="宋体" w:cs="宋体"/>
          <w:sz w:val="24"/>
          <w:szCs w:val="28"/>
        </w:rPr>
        <w:t>济南市高新区华奥路777号中国重汽科技大厦园区</w:t>
      </w:r>
      <w:r>
        <w:rPr>
          <w:rFonts w:hint="eastAsia" w:ascii="Times New Roman" w:hAnsi="Times New Roman" w:eastAsia="宋体" w:cs="宋体"/>
          <w:sz w:val="24"/>
          <w:szCs w:val="28"/>
          <w:lang w:val="en-US" w:eastAsia="zh-CN"/>
        </w:rPr>
        <w:t>营销中心三楼</w:t>
      </w:r>
      <w:r>
        <w:rPr>
          <w:rFonts w:hint="eastAsia" w:ascii="Times New Roman" w:hAnsi="Times New Roman" w:eastAsia="宋体" w:cs="宋体"/>
          <w:sz w:val="24"/>
          <w:szCs w:val="24"/>
        </w:rPr>
        <w:t>。</w:t>
      </w:r>
    </w:p>
    <w:p>
      <w:pPr>
        <w:spacing w:line="360" w:lineRule="auto"/>
        <w:ind w:firstLine="482" w:firstLineChars="200"/>
        <w:jc w:val="left"/>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三、供货时间</w:t>
      </w:r>
    </w:p>
    <w:p>
      <w:pPr>
        <w:spacing w:line="360" w:lineRule="auto"/>
        <w:ind w:firstLine="480" w:firstLineChars="200"/>
        <w:jc w:val="left"/>
        <w:rPr>
          <w:rFonts w:ascii="Times New Roman" w:hAnsi="Times New Roman" w:eastAsia="宋体" w:cs="宋体"/>
          <w:sz w:val="24"/>
          <w:szCs w:val="24"/>
        </w:rPr>
      </w:pPr>
      <w:r>
        <w:rPr>
          <w:rFonts w:hint="eastAsia" w:ascii="Times New Roman" w:hAnsi="Times New Roman" w:eastAsia="宋体" w:cs="宋体"/>
          <w:sz w:val="24"/>
          <w:szCs w:val="24"/>
          <w:highlight w:val="yellow"/>
        </w:rPr>
        <w:t>1.自合同生效后</w:t>
      </w:r>
      <w:r>
        <w:rPr>
          <w:rFonts w:hint="eastAsia" w:ascii="Times New Roman" w:hAnsi="Times New Roman" w:eastAsia="宋体" w:cs="宋体"/>
          <w:sz w:val="24"/>
          <w:szCs w:val="24"/>
          <w:highlight w:val="yellow"/>
          <w:u w:val="single"/>
        </w:rPr>
        <w:t>90</w:t>
      </w:r>
      <w:r>
        <w:rPr>
          <w:rFonts w:hint="eastAsia" w:ascii="Times New Roman" w:hAnsi="Times New Roman" w:eastAsia="宋体" w:cs="宋体"/>
          <w:sz w:val="24"/>
          <w:szCs w:val="24"/>
          <w:highlight w:val="yellow"/>
        </w:rPr>
        <w:t>个日历日内，中标人须交付设备到招标人指定的安装和使用的现场。</w:t>
      </w:r>
    </w:p>
    <w:p>
      <w:pPr>
        <w:spacing w:line="360" w:lineRule="auto"/>
        <w:ind w:firstLine="480" w:firstLineChars="200"/>
        <w:jc w:val="left"/>
        <w:rPr>
          <w:rFonts w:ascii="Times New Roman" w:hAnsi="Times New Roman" w:eastAsia="宋体" w:cs="宋体"/>
          <w:sz w:val="24"/>
          <w:szCs w:val="24"/>
        </w:rPr>
      </w:pPr>
      <w:r>
        <w:rPr>
          <w:rFonts w:hint="eastAsia" w:ascii="Times New Roman" w:hAnsi="Times New Roman" w:eastAsia="宋体" w:cs="宋体"/>
          <w:sz w:val="24"/>
          <w:szCs w:val="24"/>
        </w:rPr>
        <w:t>2.接续</w:t>
      </w:r>
      <w:r>
        <w:rPr>
          <w:rFonts w:hint="eastAsia" w:ascii="Times New Roman" w:hAnsi="Times New Roman" w:eastAsia="宋体" w:cs="宋体"/>
          <w:sz w:val="24"/>
          <w:szCs w:val="24"/>
          <w:u w:val="single"/>
          <w:shd w:val="clear" w:color="auto" w:fill="FFFFFF"/>
          <w:lang w:val="en-US" w:eastAsia="zh-CN"/>
        </w:rPr>
        <w:t>9</w:t>
      </w:r>
      <w:r>
        <w:rPr>
          <w:rFonts w:hint="eastAsia" w:ascii="Times New Roman" w:hAnsi="Times New Roman" w:eastAsia="宋体" w:cs="宋体"/>
          <w:sz w:val="24"/>
          <w:szCs w:val="24"/>
          <w:u w:val="single"/>
          <w:shd w:val="clear" w:color="auto" w:fill="FFFFFF"/>
        </w:rPr>
        <w:t>0</w:t>
      </w:r>
      <w:r>
        <w:rPr>
          <w:rFonts w:hint="eastAsia" w:ascii="Times New Roman" w:hAnsi="Times New Roman" w:eastAsia="宋体" w:cs="宋体"/>
          <w:sz w:val="24"/>
          <w:szCs w:val="24"/>
        </w:rPr>
        <w:t>个日历日之内安装调试完毕。</w:t>
      </w:r>
    </w:p>
    <w:p>
      <w:pPr>
        <w:spacing w:line="360" w:lineRule="auto"/>
        <w:ind w:firstLine="480" w:firstLineChars="200"/>
        <w:jc w:val="left"/>
        <w:rPr>
          <w:rFonts w:ascii="Times New Roman" w:hAnsi="Times New Roman" w:eastAsia="宋体" w:cs="宋体"/>
          <w:sz w:val="24"/>
          <w:szCs w:val="24"/>
        </w:rPr>
      </w:pPr>
      <w:r>
        <w:rPr>
          <w:rFonts w:hint="eastAsia" w:ascii="Times New Roman" w:hAnsi="Times New Roman" w:eastAsia="宋体" w:cs="宋体"/>
          <w:sz w:val="24"/>
          <w:szCs w:val="24"/>
        </w:rPr>
        <w:t>3.接续</w:t>
      </w:r>
      <w:r>
        <w:rPr>
          <w:rFonts w:hint="eastAsia" w:ascii="Times New Roman" w:hAnsi="Times New Roman" w:eastAsia="宋体" w:cs="宋体"/>
          <w:sz w:val="24"/>
          <w:szCs w:val="24"/>
          <w:u w:val="single"/>
        </w:rPr>
        <w:t>30</w:t>
      </w:r>
      <w:r>
        <w:rPr>
          <w:rFonts w:hint="eastAsia" w:ascii="Times New Roman" w:hAnsi="Times New Roman" w:eastAsia="宋体" w:cs="宋体"/>
          <w:sz w:val="24"/>
          <w:szCs w:val="24"/>
        </w:rPr>
        <w:t>个日历日之内完成终验收。</w:t>
      </w:r>
    </w:p>
    <w:p>
      <w:pPr>
        <w:spacing w:line="360" w:lineRule="auto"/>
        <w:ind w:firstLine="480" w:firstLineChars="200"/>
        <w:jc w:val="left"/>
        <w:rPr>
          <w:rFonts w:ascii="Times New Roman" w:hAnsi="Times New Roman" w:eastAsia="宋体" w:cs="宋体"/>
          <w:color w:val="000000"/>
          <w:sz w:val="24"/>
          <w:szCs w:val="20"/>
        </w:rPr>
      </w:pPr>
      <w:r>
        <w:rPr>
          <w:rFonts w:hint="eastAsia" w:ascii="Times New Roman" w:hAnsi="Times New Roman" w:eastAsia="宋体" w:cs="宋体"/>
          <w:sz w:val="24"/>
          <w:szCs w:val="24"/>
        </w:rPr>
        <w:t>安装调试时间或终验收时间超过</w:t>
      </w:r>
      <w:r>
        <w:rPr>
          <w:rFonts w:hint="eastAsia" w:ascii="Times New Roman" w:hAnsi="Times New Roman" w:eastAsia="宋体" w:cs="宋体"/>
          <w:sz w:val="24"/>
          <w:szCs w:val="24"/>
          <w:u w:val="single"/>
        </w:rPr>
        <w:t>10</w:t>
      </w:r>
      <w:r>
        <w:rPr>
          <w:rFonts w:hint="eastAsia" w:ascii="Times New Roman" w:hAnsi="Times New Roman" w:eastAsia="宋体" w:cs="宋体"/>
          <w:sz w:val="24"/>
          <w:szCs w:val="24"/>
        </w:rPr>
        <w:t>天的，投标人应当随标书提供详细的工期计划</w:t>
      </w:r>
      <w:r>
        <w:rPr>
          <w:rFonts w:hint="eastAsia" w:ascii="Times New Roman" w:hAnsi="Times New Roman" w:eastAsia="宋体" w:cs="宋体"/>
          <w:color w:val="000000"/>
          <w:sz w:val="24"/>
          <w:szCs w:val="20"/>
        </w:rPr>
        <w:t>。</w:t>
      </w:r>
    </w:p>
    <w:p>
      <w:pPr>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四、包装</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4.应对包装件做必要的加固和固定，以防止运输可能造成的损坏。</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5.每个包装件应有装箱单，并至少标明名称、型号规格、数量、净重和毛重、投标人（或供货商）名称和制造日期等相关内容。</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8.包装箱应连续编号，不应出现重复编号。</w:t>
      </w:r>
    </w:p>
    <w:p>
      <w:pPr>
        <w:adjustRightInd w:val="0"/>
        <w:snapToGrid w:val="0"/>
        <w:spacing w:line="360" w:lineRule="auto"/>
        <w:ind w:firstLine="480" w:firstLineChars="200"/>
        <w:rPr>
          <w:rFonts w:ascii="Times New Roman" w:hAnsi="Times New Roman" w:eastAsia="宋体" w:cs="宋体"/>
          <w:color w:val="000000"/>
          <w:sz w:val="24"/>
          <w:szCs w:val="20"/>
        </w:rPr>
      </w:pPr>
      <w:r>
        <w:rPr>
          <w:rFonts w:hint="eastAsia" w:ascii="Times New Roman" w:hAnsi="Times New Roman" w:eastAsia="宋体" w:cs="宋体"/>
          <w:sz w:val="24"/>
          <w:szCs w:val="24"/>
        </w:rPr>
        <w:t>9.在不受到外界破坏情况下，包装应保证自交货日起一年内货物（或设备）完好无损</w:t>
      </w:r>
      <w:r>
        <w:rPr>
          <w:rFonts w:hint="eastAsia" w:ascii="Times New Roman" w:hAnsi="Times New Roman" w:eastAsia="宋体" w:cs="宋体"/>
          <w:color w:val="000000"/>
          <w:sz w:val="24"/>
          <w:szCs w:val="20"/>
        </w:rPr>
        <w:t>。</w:t>
      </w:r>
    </w:p>
    <w:p>
      <w:pPr>
        <w:adjustRightInd w:val="0"/>
        <w:snapToGrid w:val="0"/>
        <w:spacing w:line="360" w:lineRule="auto"/>
        <w:ind w:firstLine="482" w:firstLineChars="200"/>
        <w:outlineLvl w:val="3"/>
        <w:rPr>
          <w:rFonts w:ascii="Times New Roman" w:hAnsi="Times New Roman" w:eastAsia="宋体" w:cs="宋体"/>
          <w:b/>
          <w:bCs/>
          <w:sz w:val="24"/>
          <w:szCs w:val="24"/>
        </w:rPr>
      </w:pPr>
      <w:r>
        <w:rPr>
          <w:rFonts w:hint="eastAsia" w:ascii="Times New Roman" w:hAnsi="Times New Roman" w:eastAsia="宋体" w:cs="宋体"/>
          <w:b/>
          <w:bCs/>
          <w:sz w:val="24"/>
          <w:szCs w:val="24"/>
        </w:rPr>
        <w:t>五、运输</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2.同批货物（或设备）应统一包装、编号运输。</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ascii="Times New Roman" w:hAnsi="Times New Roman" w:eastAsia="宋体" w:cs="宋体"/>
          <w:color w:val="000000"/>
          <w:sz w:val="24"/>
          <w:szCs w:val="20"/>
        </w:rPr>
      </w:pPr>
      <w:r>
        <w:rPr>
          <w:rFonts w:hint="eastAsia" w:ascii="Times New Roman" w:hAnsi="Times New Roman" w:eastAsia="宋体" w:cs="宋体"/>
          <w:sz w:val="24"/>
          <w:szCs w:val="24"/>
        </w:rPr>
        <w:t>5.货物（或设备）运抵交货地点后，应负责货物（或设备）的卸货、搬运、保管等事宜，或按照合同约定</w:t>
      </w:r>
      <w:r>
        <w:rPr>
          <w:rFonts w:hint="eastAsia" w:ascii="Times New Roman" w:hAnsi="Times New Roman" w:eastAsia="宋体" w:cs="宋体"/>
          <w:color w:val="000000"/>
          <w:sz w:val="24"/>
          <w:szCs w:val="20"/>
        </w:rPr>
        <w:t>。</w:t>
      </w:r>
    </w:p>
    <w:p>
      <w:pPr>
        <w:adjustRightInd w:val="0"/>
        <w:snapToGrid w:val="0"/>
        <w:spacing w:line="420" w:lineRule="exact"/>
        <w:ind w:firstLine="480" w:firstLineChars="200"/>
        <w:rPr>
          <w:rFonts w:ascii="Times New Roman" w:hAnsi="Times New Roman" w:eastAsia="宋体" w:cs="Times New Roman"/>
          <w:color w:val="000000"/>
          <w:sz w:val="24"/>
          <w:szCs w:val="20"/>
        </w:rPr>
      </w:pPr>
    </w:p>
    <w:p>
      <w:pPr>
        <w:keepNext/>
        <w:keepLines/>
        <w:spacing w:before="120" w:after="120" w:line="480" w:lineRule="exact"/>
        <w:jc w:val="center"/>
        <w:outlineLvl w:val="1"/>
        <w:rPr>
          <w:rFonts w:ascii="Times New Roman" w:hAnsi="Times New Roman" w:eastAsia="宋体" w:cs="Times New Roman"/>
          <w:b/>
          <w:bCs/>
          <w:kern w:val="44"/>
          <w:sz w:val="28"/>
          <w:szCs w:val="28"/>
        </w:rPr>
      </w:pPr>
      <w:r>
        <w:rPr>
          <w:rFonts w:ascii="Times New Roman" w:hAnsi="Times New Roman" w:eastAsia="黑体"/>
          <w:bCs/>
          <w:color w:val="000000"/>
          <w:kern w:val="44"/>
          <w:sz w:val="36"/>
          <w:szCs w:val="24"/>
        </w:rPr>
        <w:br w:type="page"/>
      </w:r>
      <w:bookmarkStart w:id="92" w:name="_Toc169605884"/>
      <w:r>
        <w:rPr>
          <w:rFonts w:hint="eastAsia" w:ascii="Times New Roman" w:hAnsi="Times New Roman" w:eastAsia="宋体" w:cs="Times New Roman"/>
          <w:b/>
          <w:bCs/>
          <w:kern w:val="44"/>
          <w:sz w:val="28"/>
          <w:szCs w:val="28"/>
        </w:rPr>
        <w:t>第四章  质保期及售后服务</w:t>
      </w:r>
      <w:bookmarkEnd w:id="92"/>
    </w:p>
    <w:p>
      <w:pPr>
        <w:pStyle w:val="121"/>
        <w:spacing w:line="360" w:lineRule="auto"/>
      </w:pPr>
      <w:r>
        <w:rPr>
          <w:rFonts w:hint="eastAsia"/>
        </w:rPr>
        <w:t>一、质保期及质保要求</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1.全部供货范围内的设备、材料、零配件和工器具等，除合同特别约定外，其质保期均自终验收签字生效之日起</w:t>
      </w:r>
      <w:r>
        <w:rPr>
          <w:rFonts w:hint="eastAsia" w:ascii="Times New Roman" w:hAnsi="Times New Roman" w:eastAsia="宋体" w:cs="宋体"/>
          <w:sz w:val="24"/>
          <w:szCs w:val="24"/>
          <w:u w:val="single"/>
        </w:rPr>
        <w:t xml:space="preserve"> 12 </w:t>
      </w:r>
      <w:r>
        <w:rPr>
          <w:rFonts w:hint="eastAsia" w:ascii="Times New Roman" w:hAnsi="Times New Roman" w:eastAsia="宋体" w:cs="宋体"/>
          <w:sz w:val="24"/>
          <w:szCs w:val="24"/>
        </w:rPr>
        <w:t>个月。</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投标货物或涉及的关键总成和零件，如果有更长时间质保期，允许更改并说明，此将有利于投标人。</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设计使用寿命短于质保期的易损件除外，但属于易损件的，应当有明确说明。</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3.质保期内免费提供零部件和及时有效的服务。质保期内因货物本身缺陷造成的各种故障，卖方应负责免费维修和服务。</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4.质保期终止之日起一年内重复出现的质保期之内出现的故障，仍属质保范围而且应当免费。</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w:t>
      </w:r>
      <w:r>
        <w:rPr>
          <w:rFonts w:ascii="Times New Roman" w:hAnsi="Times New Roman" w:eastAsia="宋体" w:cs="宋体"/>
          <w:sz w:val="24"/>
          <w:szCs w:val="24"/>
        </w:rPr>
        <w:t>.</w:t>
      </w:r>
      <w:r>
        <w:rPr>
          <w:rFonts w:hint="eastAsia" w:ascii="Times New Roman" w:hAnsi="Times New Roman" w:eastAsia="宋体" w:cs="宋体"/>
          <w:sz w:val="24"/>
          <w:szCs w:val="24"/>
        </w:rPr>
        <w:t>质保期内免费提供针对本技术条件要求内容范围内的测试脚本开发适配服务。</w:t>
      </w:r>
    </w:p>
    <w:p>
      <w:pPr>
        <w:pStyle w:val="121"/>
        <w:spacing w:line="360" w:lineRule="auto"/>
      </w:pPr>
      <w:r>
        <w:rPr>
          <w:rFonts w:hint="eastAsia"/>
        </w:rPr>
        <w:t>二、技术及培训服务</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应负责在买方货物使用现场，对技术、维修和操作人员提供免费的理论、技术和操作、维修等方面的技术指导和培训，并接受买方有关人员的技术咨询。培训标准以招标方测试工程师具备根据中标方提供的测试执行手册独立进行测试及分析测试结果的能力、具备根据中标方提供的测试平台独立完成测试脚本开发及适配的能力为准。</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2.应免费提供一定数量的培训资料。</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3.应按要求免费积极协助和提供买方以及买方所委托的工程设计单位有关人员所需要的、与货物有关的工程设计资料、技术咨询等。</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4.若卖方提供货物涉及到外购外协货物、而且该货物的技术质量等较为关键时，卖方应能保证得到配套厂家的技术支持，并免费为买方提供技术服务。</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pPr>
        <w:pStyle w:val="121"/>
        <w:spacing w:line="360" w:lineRule="auto"/>
      </w:pPr>
      <w:r>
        <w:rPr>
          <w:rFonts w:hint="eastAsia"/>
        </w:rPr>
        <w:t>三、安装调试及验收服务</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2.若卖方提供的货物涉及到外购外协货物、而且该货物的技术质量等较为关键时，应保证能得到供应商的技术支持，并免费为买方提供安装使用现场的指导与培训。</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5.卖方应当向买方提供货物试验、验收的有关标准、规范和方法，同时提供货物涉及并使用的软件合法性证明。</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6.服务缺陷视同货物缺陷和履约延期。</w:t>
      </w:r>
    </w:p>
    <w:p>
      <w:pPr>
        <w:pStyle w:val="121"/>
        <w:spacing w:line="360" w:lineRule="auto"/>
      </w:pPr>
      <w:r>
        <w:rPr>
          <w:rFonts w:hint="eastAsia"/>
          <w:highlight w:val="yellow"/>
        </w:rPr>
        <w:t>四、售后服务</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1.卖方提供的货物涉及的所有售后服务均由卖方负责。如果发生问题并且收到通知，卖方应当在2小时内予以答复。</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2.如发现所提供的货物存在问题，需要卖方解决或配合解决时：在质保期之内，应</w:t>
      </w:r>
      <w:r>
        <w:rPr>
          <w:rFonts w:hint="eastAsia" w:ascii="Times New Roman" w:hAnsi="Times New Roman" w:eastAsia="宋体" w:cs="宋体"/>
          <w:sz w:val="24"/>
          <w:szCs w:val="24"/>
          <w:highlight w:val="yellow"/>
        </w:rPr>
        <w:t>在接到通知后24小时内派有关人员到达现场；</w:t>
      </w:r>
      <w:r>
        <w:rPr>
          <w:rFonts w:hint="eastAsia" w:ascii="Times New Roman" w:hAnsi="Times New Roman" w:eastAsia="宋体" w:cs="宋体"/>
          <w:sz w:val="24"/>
          <w:szCs w:val="24"/>
        </w:rPr>
        <w:t>在质保期之外，应在接到通知后72小时内派有关人员到达现场。</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3.卖方派往买方使用现场的人员，应具有较高的业务素质；现场解决问题时，不得无故拖延或推迟，应为买方提供最佳的服务。</w:t>
      </w:r>
    </w:p>
    <w:p>
      <w:pPr>
        <w:pStyle w:val="121"/>
        <w:spacing w:line="360" w:lineRule="auto"/>
      </w:pPr>
      <w:r>
        <w:rPr>
          <w:rFonts w:hint="eastAsia"/>
        </w:rPr>
        <w:t>五、其它服务</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1.若卖方所提供货物有需要进口的，卖方一般应自行、自费办理。</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2.除招标文件、投标文件、答疑文件、技术标书、合同等约定之外，卖方应免费负责必要的或强制性的货物的检验、试验、化验等直接费用。</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3.本章节条款所列“免费”，并非指定不可收费，而是指招标文件、投标文件、答疑文件、技术交流文件、技术标书和合同等范围之外，投标人不可另行收取的费用。</w:t>
      </w:r>
    </w:p>
    <w:p>
      <w:pPr>
        <w:pStyle w:val="20"/>
        <w:spacing w:line="360" w:lineRule="auto"/>
        <w:rPr>
          <w:rFonts w:ascii="Times New Roman" w:hAnsi="Times New Roman" w:eastAsia="宋体" w:cs="宋体"/>
          <w:sz w:val="24"/>
          <w:szCs w:val="24"/>
        </w:rPr>
      </w:pPr>
      <w:r>
        <w:rPr>
          <w:rFonts w:hint="eastAsia" w:ascii="Times New Roman" w:hAnsi="Times New Roman" w:eastAsia="宋体" w:cs="宋体"/>
          <w:sz w:val="24"/>
          <w:szCs w:val="24"/>
        </w:rPr>
        <w:br w:type="page"/>
      </w:r>
    </w:p>
    <w:p>
      <w:pPr>
        <w:keepNext/>
        <w:keepLines/>
        <w:spacing w:before="120" w:after="120" w:line="480" w:lineRule="exact"/>
        <w:jc w:val="center"/>
        <w:outlineLvl w:val="1"/>
        <w:rPr>
          <w:rFonts w:ascii="Times New Roman" w:hAnsi="Times New Roman" w:eastAsia="宋体" w:cs="Times New Roman"/>
          <w:b/>
          <w:bCs/>
          <w:kern w:val="44"/>
          <w:sz w:val="28"/>
          <w:szCs w:val="28"/>
        </w:rPr>
      </w:pPr>
      <w:bookmarkStart w:id="93" w:name="_Toc465187646"/>
      <w:r>
        <w:rPr>
          <w:rFonts w:hint="eastAsia" w:ascii="Times New Roman" w:hAnsi="Times New Roman" w:eastAsia="宋体" w:cs="Times New Roman"/>
          <w:b/>
          <w:bCs/>
          <w:kern w:val="44"/>
          <w:sz w:val="28"/>
          <w:szCs w:val="28"/>
        </w:rPr>
        <w:t>第五章  预验收和终验收</w:t>
      </w:r>
      <w:bookmarkEnd w:id="93"/>
    </w:p>
    <w:p>
      <w:pPr>
        <w:pStyle w:val="121"/>
        <w:spacing w:line="360" w:lineRule="auto"/>
      </w:pPr>
      <w:r>
        <w:rPr>
          <w:rFonts w:hint="eastAsia"/>
        </w:rPr>
        <w:t>一、验收依据和验收标准</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1.验收标准一般以技术标书和合同规定验收。无论技术标书和合同，是否全部并准确列明验收所涉及的相关标准，均作为验收标准之一。</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2.如果验收过程中，发现招标文件、投标文件、答疑文件、技术交流文件等与技术标书、合同存在差异，原则上以涉及条款中对买方最有利条款为验收依据。</w:t>
      </w:r>
    </w:p>
    <w:p>
      <w:pPr>
        <w:pStyle w:val="121"/>
        <w:spacing w:line="360" w:lineRule="auto"/>
      </w:pPr>
      <w:r>
        <w:rPr>
          <w:rFonts w:hint="eastAsia"/>
        </w:rPr>
        <w:t>二、检验</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1.国产货物的检验一般由买卖双方共同进行或按照合同要求进行。</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2.进口货物的检验，卖方需要按照下述要求进行：</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2.2 应依据合同规定的要求，提供买卖双方达成一致的货物的验收标准和装箱单，作为买方检验的依据。</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pPr>
        <w:pStyle w:val="121"/>
        <w:spacing w:line="360" w:lineRule="auto"/>
      </w:pPr>
      <w:r>
        <w:rPr>
          <w:rFonts w:hint="eastAsia"/>
        </w:rPr>
        <w:t>三、验收基本条件</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验收一般分预验收和终验收两部分。买方在设备集成现场进行预验收，验收地交通（中国济南至验收地往返）、食宿由买方自理。终验收在安装调试完成及试运行后的买方现场进行。但是所有的项目，包括不能预验收的项目和预验收通过的项目都在终验收时重新检验，最终只以终验收为准。</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买卖双方按照合同约定执行了合同，同时货物完成了试运行并经检验合格，则具备验收条件。</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1.预验收基本要求</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1.1 卖方已经按照“供货范围”要求提供了预验收资料，并且资料齐全、完整和有效。</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1.2 货物应完整且所有的零部件应该安装牢固，外观无损伤，所有的焊缝饱满、无残渣等缺陷。</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1.3 货物的油漆质量应饱满、有光泽，无掉漆、无色差、无“桔皮”等不良现象（特殊标志除外）。</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1.4 货物标牌完整、清晰、明确。</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1.5</w:t>
      </w:r>
      <w:r>
        <w:rPr>
          <w:rFonts w:ascii="Times New Roman" w:hAnsi="Times New Roman" w:eastAsia="宋体" w:cs="宋体"/>
          <w:sz w:val="24"/>
          <w:szCs w:val="24"/>
        </w:rPr>
        <w:t xml:space="preserve"> </w:t>
      </w:r>
      <w:r>
        <w:rPr>
          <w:rFonts w:hint="eastAsia" w:ascii="Times New Roman" w:hAnsi="Times New Roman" w:eastAsia="宋体" w:cs="宋体"/>
          <w:sz w:val="24"/>
          <w:szCs w:val="24"/>
        </w:rPr>
        <w:t>货物的安全要求符合中国最新的相关法律、法规、标准和规范以及合同要求。</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w:t>
      </w:r>
      <w:r>
        <w:rPr>
          <w:rFonts w:ascii="Times New Roman" w:hAnsi="Times New Roman" w:eastAsia="宋体" w:cs="宋体"/>
          <w:sz w:val="24"/>
          <w:szCs w:val="24"/>
        </w:rPr>
        <w:t xml:space="preserve">.6 </w:t>
      </w:r>
      <w:r>
        <w:rPr>
          <w:rFonts w:hint="eastAsia" w:ascii="Times New Roman" w:hAnsi="Times New Roman" w:eastAsia="宋体" w:cs="宋体"/>
          <w:sz w:val="24"/>
          <w:szCs w:val="24"/>
        </w:rPr>
        <w:t>系统设备品牌、型号、数量与合同约定内容一致；各设备资料齐全，完整有效。</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w:t>
      </w:r>
      <w:r>
        <w:rPr>
          <w:rFonts w:ascii="Times New Roman" w:hAnsi="Times New Roman" w:eastAsia="宋体" w:cs="宋体"/>
          <w:sz w:val="24"/>
          <w:szCs w:val="24"/>
        </w:rPr>
        <w:t>.7</w:t>
      </w:r>
      <w:r>
        <w:rPr>
          <w:rFonts w:hint="eastAsia" w:ascii="Times New Roman" w:hAnsi="Times New Roman" w:eastAsia="宋体" w:cs="宋体"/>
          <w:sz w:val="24"/>
          <w:szCs w:val="24"/>
        </w:rPr>
        <w:t xml:space="preserve"> 按约定技术方案对设备进行系统设计及原理、测试软件执行及脚本开发的讲解及培训。</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2.终验收一般条件</w:t>
      </w:r>
    </w:p>
    <w:p>
      <w:pPr>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2.1</w:t>
      </w:r>
      <w:r>
        <w:rPr>
          <w:rFonts w:hint="eastAsia" w:ascii="Times New Roman" w:hAnsi="Times New Roman" w:eastAsia="宋体" w:cs="宋体"/>
          <w:sz w:val="24"/>
          <w:szCs w:val="24"/>
        </w:rPr>
        <w:t>设备已完成硬件与软件系统的整体功能测试与调试，且功能正常。</w:t>
      </w:r>
    </w:p>
    <w:p>
      <w:pPr>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2.2</w:t>
      </w:r>
      <w:r>
        <w:rPr>
          <w:rFonts w:hint="eastAsia" w:ascii="Times New Roman" w:hAnsi="Times New Roman" w:eastAsia="宋体" w:cs="宋体"/>
          <w:sz w:val="24"/>
          <w:szCs w:val="24"/>
        </w:rPr>
        <w:t>通过了</w:t>
      </w:r>
      <w:r>
        <w:rPr>
          <w:rFonts w:ascii="Times New Roman" w:hAnsi="Times New Roman" w:eastAsia="宋体" w:cs="宋体"/>
          <w:sz w:val="24"/>
          <w:szCs w:val="24"/>
        </w:rPr>
        <w:t>预验收而且没有出现新的质量问题，或者满足预验收条款。</w:t>
      </w:r>
    </w:p>
    <w:p>
      <w:pPr>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2.3货物安装调试完毕，并至少经过了验收要求的负荷试运行。</w:t>
      </w:r>
    </w:p>
    <w:p>
      <w:pPr>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2.4货物正常运行时，噪声等环境影响因素满足国家和当地环保主管部门规定，安全措施落实、有效。</w:t>
      </w:r>
    </w:p>
    <w:p>
      <w:pPr>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2.5计量仪器、仪表配套合理，采用中国的法定计量单位，计量准确、灵敏可靠。保证设计指标和仪器说明书的参数的实现。</w:t>
      </w:r>
    </w:p>
    <w:p>
      <w:pPr>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2.6试运行期间或之后无维修、调整等行为（特殊情况除外）。</w:t>
      </w:r>
    </w:p>
    <w:p>
      <w:pPr>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2.7货物质量、技术性能等，达到签定的技术协议书和合同规定的终验收标准。</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w:t>
      </w:r>
      <w:r>
        <w:rPr>
          <w:rFonts w:ascii="Times New Roman" w:hAnsi="Times New Roman" w:eastAsia="宋体" w:cs="宋体"/>
          <w:sz w:val="24"/>
          <w:szCs w:val="24"/>
        </w:rPr>
        <w:t>8</w:t>
      </w:r>
      <w:r>
        <w:rPr>
          <w:rFonts w:hint="eastAsia" w:ascii="Times New Roman" w:hAnsi="Times New Roman" w:eastAsia="宋体" w:cs="宋体"/>
          <w:sz w:val="24"/>
          <w:szCs w:val="24"/>
        </w:rPr>
        <w:t>首次计量由乙方负责，由省级或以上的计量机构计量，按照系统约束的性能指标进行计量检定，合格后方可进行终验收。</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3.</w:t>
      </w:r>
      <w:r>
        <w:rPr>
          <w:rFonts w:hint="eastAsia" w:ascii="Times New Roman" w:hAnsi="Times New Roman" w:eastAsia="宋体" w:cs="宋体"/>
          <w:sz w:val="24"/>
          <w:szCs w:val="24"/>
        </w:rPr>
        <w:t>终验收技术要求</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w:t>
      </w:r>
      <w:r>
        <w:rPr>
          <w:rFonts w:ascii="Times New Roman" w:hAnsi="Times New Roman" w:eastAsia="宋体" w:cs="宋体"/>
          <w:sz w:val="24"/>
          <w:szCs w:val="24"/>
        </w:rPr>
        <w:t>.1设备安装调试完成后，再需要经过一个考核期的</w:t>
      </w:r>
      <w:r>
        <w:rPr>
          <w:rFonts w:hint="eastAsia" w:ascii="Times New Roman" w:hAnsi="Times New Roman" w:eastAsia="宋体" w:cs="宋体"/>
          <w:sz w:val="24"/>
          <w:szCs w:val="24"/>
        </w:rPr>
        <w:t>运行测试使用</w:t>
      </w:r>
      <w:r>
        <w:rPr>
          <w:rFonts w:ascii="Times New Roman" w:hAnsi="Times New Roman" w:eastAsia="宋体" w:cs="宋体"/>
          <w:sz w:val="24"/>
          <w:szCs w:val="24"/>
        </w:rPr>
        <w:t>，考核整个系统的</w:t>
      </w:r>
      <w:r>
        <w:rPr>
          <w:rFonts w:hint="eastAsia" w:ascii="Times New Roman" w:hAnsi="Times New Roman" w:eastAsia="宋体" w:cs="宋体"/>
          <w:sz w:val="24"/>
          <w:szCs w:val="24"/>
        </w:rPr>
        <w:t>软硬件的</w:t>
      </w:r>
      <w:r>
        <w:rPr>
          <w:rFonts w:ascii="Times New Roman" w:hAnsi="Times New Roman" w:eastAsia="宋体" w:cs="宋体"/>
          <w:sz w:val="24"/>
          <w:szCs w:val="24"/>
        </w:rPr>
        <w:t>可靠性</w:t>
      </w:r>
      <w:r>
        <w:rPr>
          <w:rFonts w:hint="eastAsia" w:ascii="Times New Roman" w:hAnsi="Times New Roman" w:eastAsia="宋体" w:cs="宋体"/>
          <w:sz w:val="24"/>
          <w:szCs w:val="24"/>
        </w:rPr>
        <w:t>、测试脚本的可靠性。</w:t>
      </w:r>
      <w:r>
        <w:rPr>
          <w:rFonts w:ascii="Times New Roman" w:hAnsi="Times New Roman" w:eastAsia="宋体" w:cs="宋体"/>
          <w:sz w:val="24"/>
          <w:szCs w:val="24"/>
        </w:rPr>
        <w:t>考核期不少于30个工作日，考核期间不得出现影响设备使用性能的重要故障或重要部件损坏，</w:t>
      </w:r>
      <w:r>
        <w:rPr>
          <w:rFonts w:hint="eastAsia" w:ascii="Times New Roman" w:hAnsi="Times New Roman" w:eastAsia="宋体" w:cs="宋体"/>
          <w:sz w:val="24"/>
          <w:szCs w:val="24"/>
        </w:rPr>
        <w:t>测试脚本执行不得出现bug，</w:t>
      </w:r>
      <w:r>
        <w:rPr>
          <w:rFonts w:ascii="Times New Roman" w:hAnsi="Times New Roman" w:eastAsia="宋体" w:cs="宋体"/>
          <w:sz w:val="24"/>
          <w:szCs w:val="24"/>
        </w:rPr>
        <w:t>考核期满足要求后进行最终验收</w:t>
      </w:r>
      <w:r>
        <w:rPr>
          <w:rFonts w:hint="eastAsia" w:ascii="Times New Roman" w:hAnsi="Times New Roman" w:eastAsia="宋体" w:cs="宋体"/>
          <w:sz w:val="24"/>
          <w:szCs w:val="24"/>
        </w:rPr>
        <w:t>。</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3.2由买方和卖方共同组织设备的终验收，所提供测试系统设备必须满足本技术协议</w:t>
      </w:r>
      <w:r>
        <w:rPr>
          <w:rFonts w:hint="eastAsia" w:ascii="Times New Roman" w:hAnsi="Times New Roman" w:eastAsia="宋体" w:cs="宋体"/>
          <w:sz w:val="24"/>
          <w:szCs w:val="24"/>
        </w:rPr>
        <w:t>及合同约定的</w:t>
      </w:r>
      <w:r>
        <w:rPr>
          <w:rFonts w:ascii="Times New Roman" w:hAnsi="Times New Roman" w:eastAsia="宋体" w:cs="宋体"/>
          <w:sz w:val="24"/>
          <w:szCs w:val="24"/>
        </w:rPr>
        <w:t>全部技术要求，验收内容应包含但不仅限于以下内容：</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1</w:t>
      </w:r>
      <w:r>
        <w:rPr>
          <w:rFonts w:hint="eastAsia" w:ascii="Times New Roman" w:hAnsi="Times New Roman" w:eastAsia="宋体" w:cs="宋体"/>
          <w:sz w:val="24"/>
          <w:szCs w:val="24"/>
        </w:rPr>
        <w:t>）</w:t>
      </w:r>
      <w:r>
        <w:rPr>
          <w:rFonts w:hint="eastAsia" w:ascii="Times New Roman" w:hAnsi="Times New Roman" w:eastAsia="宋体" w:cs="Times New Roman"/>
          <w:sz w:val="24"/>
          <w:szCs w:val="24"/>
        </w:rPr>
        <w:t>CAN/LIN/CANFD网络测试脚本测试执行</w:t>
      </w:r>
      <w:r>
        <w:rPr>
          <w:rFonts w:ascii="Times New Roman" w:hAnsi="Times New Roman" w:eastAsia="宋体" w:cs="宋体"/>
          <w:sz w:val="24"/>
          <w:szCs w:val="24"/>
        </w:rPr>
        <w:t>；</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2</w:t>
      </w:r>
      <w:r>
        <w:rPr>
          <w:rFonts w:hint="eastAsia" w:ascii="Times New Roman" w:hAnsi="Times New Roman" w:eastAsia="宋体" w:cs="宋体"/>
          <w:sz w:val="24"/>
          <w:szCs w:val="24"/>
        </w:rPr>
        <w:t>）以太网测试脚本测试执行；</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3</w:t>
      </w:r>
      <w:r>
        <w:rPr>
          <w:rFonts w:hint="eastAsia" w:ascii="Times New Roman" w:hAnsi="Times New Roman" w:eastAsia="宋体" w:cs="宋体"/>
          <w:sz w:val="24"/>
          <w:szCs w:val="24"/>
        </w:rPr>
        <w:t>）</w:t>
      </w:r>
      <w:r>
        <w:rPr>
          <w:rFonts w:hint="eastAsia" w:ascii="Times New Roman" w:hAnsi="Times New Roman" w:eastAsia="宋体" w:cs="Times New Roman"/>
          <w:sz w:val="24"/>
          <w:szCs w:val="24"/>
        </w:rPr>
        <w:t>CAN/LIN/CANFD网络测试系统脚本开发环境测试；</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4</w:t>
      </w:r>
      <w:r>
        <w:rPr>
          <w:rFonts w:hint="eastAsia" w:ascii="Times New Roman" w:hAnsi="Times New Roman" w:eastAsia="宋体" w:cs="宋体"/>
          <w:sz w:val="24"/>
          <w:szCs w:val="24"/>
        </w:rPr>
        <w:t>）以太网测试脚本开发环境测试；</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5）测试用例测试规范的完整度和覆盖度。</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3.3由买方和卖方共同编制终验收报告并签字确认；</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3.4终验收期间，卖方自行负责交通、食宿、保险等费用；</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3.5最终验收以双方签订的合同和条件为准，逐项进行最终验收；</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3.6对于终验收买方提出的问题，卖方应在15个工作日内完成整改。</w:t>
      </w:r>
    </w:p>
    <w:p>
      <w:pPr>
        <w:adjustRightInd w:val="0"/>
        <w:snapToGrid w:val="0"/>
        <w:spacing w:line="360" w:lineRule="auto"/>
        <w:ind w:firstLine="480" w:firstLineChars="200"/>
        <w:rPr>
          <w:rFonts w:ascii="Times New Roman" w:hAnsi="Times New Roman" w:eastAsia="宋体" w:cs="宋体"/>
          <w:sz w:val="24"/>
          <w:szCs w:val="24"/>
        </w:rPr>
      </w:pPr>
      <w:r>
        <w:rPr>
          <w:rFonts w:ascii="Times New Roman" w:hAnsi="Times New Roman" w:eastAsia="宋体" w:cs="宋体"/>
          <w:sz w:val="24"/>
          <w:szCs w:val="24"/>
        </w:rPr>
        <w:t>3.7终验收通过后买卖双方共同签署终验收报告，并移交、核对全部供货范围内物品。</w:t>
      </w:r>
    </w:p>
    <w:p>
      <w:pPr>
        <w:adjustRightInd w:val="0"/>
        <w:snapToGrid w:val="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pStyle w:val="20"/>
        <w:spacing w:line="360" w:lineRule="auto"/>
        <w:rPr>
          <w:rFonts w:ascii="Times New Roman" w:hAnsi="Times New Roman" w:eastAsia="宋体" w:cs="宋体"/>
          <w:sz w:val="24"/>
          <w:szCs w:val="24"/>
        </w:rPr>
      </w:pPr>
    </w:p>
    <w:p>
      <w:pPr>
        <w:keepNext/>
        <w:keepLines/>
        <w:spacing w:before="120" w:after="120" w:line="480" w:lineRule="exact"/>
        <w:jc w:val="center"/>
        <w:outlineLvl w:val="1"/>
        <w:rPr>
          <w:rFonts w:ascii="Times New Roman" w:hAnsi="Times New Roman" w:eastAsia="宋体" w:cs="Times New Roman"/>
          <w:b/>
          <w:bCs/>
          <w:kern w:val="44"/>
          <w:sz w:val="28"/>
          <w:szCs w:val="28"/>
        </w:rPr>
      </w:pPr>
      <w:bookmarkStart w:id="94" w:name="_Toc131008493"/>
      <w:bookmarkStart w:id="95" w:name="_Toc30824"/>
      <w:bookmarkStart w:id="96" w:name="_Toc465187647"/>
      <w:r>
        <w:rPr>
          <w:rFonts w:hint="eastAsia" w:ascii="Times New Roman" w:hAnsi="Times New Roman" w:eastAsia="宋体" w:cs="Times New Roman"/>
          <w:b/>
          <w:bCs/>
          <w:kern w:val="44"/>
          <w:sz w:val="28"/>
          <w:szCs w:val="28"/>
        </w:rPr>
        <w:t>第六章  投标技术文件一般要求</w:t>
      </w:r>
      <w:bookmarkEnd w:id="94"/>
      <w:bookmarkEnd w:id="95"/>
      <w:bookmarkEnd w:id="96"/>
    </w:p>
    <w:p>
      <w:pPr>
        <w:pStyle w:val="121"/>
        <w:spacing w:line="360" w:lineRule="auto"/>
      </w:pPr>
      <w:r>
        <w:rPr>
          <w:rFonts w:hint="eastAsia"/>
        </w:rPr>
        <w:t>一、技术文件一般内容要求</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1.投标人应认真阅读招标文件和本技术标书，并按要求编写投标技术文件。</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2.投标技术文件至少应对投标货物的功能用途、技术性能、质量标准、技术参数等作出详细说明。</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3.投标技术文件至少应根据投标货物的关键设备、总成、零部件或系统作出满足或优于招标文件要求的详细说明。</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4.投标技术文件至少应按照招标文件要求（或投标人建议）列明备品备件、易损件和专用耗材明细。</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5.投标人应当而且必须分别说明所列备品备件、易损件和专用耗材的使用寿命（以有效工作小时数说明）。</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6.投标的货物，应当根据其配置和备品备件、易损件、专用耗材情况，尽可能详细且分类填入下表：</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类填入下表：</w:t>
      </w:r>
    </w:p>
    <w:p>
      <w:pPr>
        <w:adjustRightInd w:val="0"/>
        <w:snapToGrid w:val="0"/>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☆6.1备品备件、易损件和专用耗材明细表：</w:t>
      </w:r>
    </w:p>
    <w:p>
      <w:pPr>
        <w:adjustRightInd w:val="0"/>
        <w:snapToGrid w:val="0"/>
        <w:spacing w:line="360" w:lineRule="auto"/>
        <w:ind w:firstLine="482" w:firstLineChars="200"/>
        <w:rPr>
          <w:rFonts w:ascii="宋体" w:hAnsi="宋体" w:eastAsia="宋体" w:cs="宋体"/>
          <w:b/>
          <w:bCs/>
          <w:sz w:val="24"/>
          <w:szCs w:val="24"/>
          <w:highlight w:val="yellow"/>
        </w:rPr>
      </w:pPr>
      <w:r>
        <w:rPr>
          <w:rFonts w:hint="eastAsia" w:ascii="宋体" w:hAnsi="宋体" w:eastAsia="宋体" w:cs="宋体"/>
          <w:b/>
          <w:bCs/>
          <w:sz w:val="24"/>
          <w:szCs w:val="24"/>
          <w:highlight w:val="yellow"/>
        </w:rPr>
        <w:t>必须提供本项目生命周期内所涉及到所有备品备件、易损件和专用耗材明细表，以便于质保期外，招标人能够根据清单快速找到同规格产品。</w:t>
      </w:r>
    </w:p>
    <w:p>
      <w:pPr>
        <w:adjustRightInd w:val="0"/>
        <w:snapToGrid w:val="0"/>
        <w:spacing w:line="420" w:lineRule="exact"/>
        <w:ind w:firstLine="1890" w:firstLineChars="900"/>
        <w:rPr>
          <w:rFonts w:ascii="宋体" w:hAnsi="宋体" w:eastAsia="宋体" w:cs="宋体"/>
          <w:highlight w:val="yellow"/>
        </w:rPr>
      </w:pPr>
      <w:r>
        <w:rPr>
          <w:rFonts w:hint="eastAsia" w:ascii="宋体" w:hAnsi="宋体" w:eastAsia="宋体" w:cs="宋体"/>
          <w:highlight w:val="yellow"/>
        </w:rPr>
        <w:t>备品备件、易损件和专用耗材明细表             单位：元</w:t>
      </w:r>
    </w:p>
    <w:tbl>
      <w:tblPr>
        <w:tblStyle w:val="39"/>
        <w:tblW w:w="9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
        <w:gridCol w:w="1705"/>
        <w:gridCol w:w="1010"/>
        <w:gridCol w:w="1558"/>
        <w:gridCol w:w="793"/>
        <w:gridCol w:w="793"/>
        <w:gridCol w:w="24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ascii="宋体" w:hAnsi="宋体" w:eastAsia="宋体" w:cs="宋体"/>
              </w:rPr>
            </w:pPr>
            <w:r>
              <w:rPr>
                <w:rFonts w:hint="eastAsia" w:ascii="宋体" w:hAnsi="宋体" w:eastAsia="宋体" w:cs="宋体"/>
              </w:rPr>
              <w:t>序号</w:t>
            </w:r>
          </w:p>
        </w:tc>
        <w:tc>
          <w:tcPr>
            <w:tcW w:w="1705" w:type="dxa"/>
          </w:tcPr>
          <w:p>
            <w:pPr>
              <w:adjustRightInd w:val="0"/>
              <w:snapToGrid w:val="0"/>
              <w:spacing w:line="360" w:lineRule="exact"/>
              <w:jc w:val="center"/>
              <w:rPr>
                <w:rFonts w:ascii="宋体" w:hAnsi="宋体" w:eastAsia="宋体" w:cs="宋体"/>
              </w:rPr>
            </w:pPr>
            <w:r>
              <w:rPr>
                <w:rFonts w:hint="eastAsia" w:ascii="宋体" w:hAnsi="宋体" w:eastAsia="宋体" w:cs="宋体"/>
              </w:rPr>
              <w:t>名称</w:t>
            </w:r>
          </w:p>
        </w:tc>
        <w:tc>
          <w:tcPr>
            <w:tcW w:w="1010" w:type="dxa"/>
          </w:tcPr>
          <w:p>
            <w:pPr>
              <w:adjustRightInd w:val="0"/>
              <w:snapToGrid w:val="0"/>
              <w:spacing w:line="360" w:lineRule="exact"/>
              <w:jc w:val="center"/>
              <w:rPr>
                <w:rFonts w:ascii="宋体" w:hAnsi="宋体" w:eastAsia="宋体" w:cs="宋体"/>
              </w:rPr>
            </w:pPr>
            <w:r>
              <w:rPr>
                <w:rFonts w:hint="eastAsia" w:ascii="宋体" w:hAnsi="宋体" w:eastAsia="宋体" w:cs="宋体"/>
              </w:rPr>
              <w:t>品牌</w:t>
            </w:r>
          </w:p>
        </w:tc>
        <w:tc>
          <w:tcPr>
            <w:tcW w:w="1558" w:type="dxa"/>
          </w:tcPr>
          <w:p>
            <w:pPr>
              <w:adjustRightInd w:val="0"/>
              <w:snapToGrid w:val="0"/>
              <w:spacing w:line="360" w:lineRule="exact"/>
              <w:jc w:val="center"/>
              <w:rPr>
                <w:rFonts w:ascii="宋体" w:hAnsi="宋体" w:eastAsia="宋体" w:cs="宋体"/>
              </w:rPr>
            </w:pPr>
            <w:r>
              <w:rPr>
                <w:rFonts w:hint="eastAsia" w:ascii="宋体" w:hAnsi="宋体" w:eastAsia="宋体" w:cs="宋体"/>
              </w:rPr>
              <w:t>型号规格</w:t>
            </w:r>
          </w:p>
        </w:tc>
        <w:tc>
          <w:tcPr>
            <w:tcW w:w="793" w:type="dxa"/>
          </w:tcPr>
          <w:p>
            <w:pPr>
              <w:adjustRightInd w:val="0"/>
              <w:snapToGrid w:val="0"/>
              <w:spacing w:line="360" w:lineRule="exact"/>
              <w:jc w:val="center"/>
              <w:rPr>
                <w:rFonts w:ascii="宋体" w:hAnsi="宋体" w:eastAsia="宋体" w:cs="宋体"/>
              </w:rPr>
            </w:pPr>
            <w:r>
              <w:rPr>
                <w:rFonts w:hint="eastAsia" w:ascii="宋体" w:hAnsi="宋体" w:eastAsia="宋体" w:cs="宋体"/>
              </w:rPr>
              <w:t>单位</w:t>
            </w:r>
          </w:p>
        </w:tc>
        <w:tc>
          <w:tcPr>
            <w:tcW w:w="793" w:type="dxa"/>
          </w:tcPr>
          <w:p>
            <w:pPr>
              <w:adjustRightInd w:val="0"/>
              <w:snapToGrid w:val="0"/>
              <w:spacing w:line="360" w:lineRule="exact"/>
              <w:jc w:val="center"/>
              <w:rPr>
                <w:rFonts w:ascii="宋体" w:hAnsi="宋体" w:eastAsia="宋体" w:cs="宋体"/>
              </w:rPr>
            </w:pPr>
            <w:r>
              <w:rPr>
                <w:rFonts w:hint="eastAsia" w:ascii="宋体" w:hAnsi="宋体" w:eastAsia="宋体" w:cs="宋体"/>
              </w:rPr>
              <w:t>单价</w:t>
            </w:r>
          </w:p>
        </w:tc>
        <w:tc>
          <w:tcPr>
            <w:tcW w:w="2461" w:type="dxa"/>
          </w:tcPr>
          <w:p>
            <w:pPr>
              <w:adjustRightInd w:val="0"/>
              <w:snapToGrid w:val="0"/>
              <w:spacing w:line="360" w:lineRule="exact"/>
              <w:jc w:val="center"/>
              <w:rPr>
                <w:rFonts w:ascii="宋体" w:hAnsi="宋体" w:eastAsia="宋体" w:cs="宋体"/>
              </w:rPr>
            </w:pPr>
            <w:r>
              <w:rPr>
                <w:rFonts w:hint="eastAsia" w:ascii="宋体" w:hAnsi="宋体" w:eastAsia="宋体" w:cs="宋体"/>
              </w:rPr>
              <w:t>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ascii="宋体" w:hAnsi="宋体" w:eastAsia="宋体" w:cs="宋体"/>
              </w:rPr>
            </w:pPr>
          </w:p>
        </w:tc>
        <w:tc>
          <w:tcPr>
            <w:tcW w:w="1705" w:type="dxa"/>
          </w:tcPr>
          <w:p>
            <w:pPr>
              <w:adjustRightInd w:val="0"/>
              <w:snapToGrid w:val="0"/>
              <w:spacing w:line="360" w:lineRule="exact"/>
              <w:rPr>
                <w:rFonts w:ascii="宋体" w:hAnsi="宋体" w:eastAsia="宋体" w:cs="宋体"/>
              </w:rPr>
            </w:pPr>
          </w:p>
        </w:tc>
        <w:tc>
          <w:tcPr>
            <w:tcW w:w="1010" w:type="dxa"/>
          </w:tcPr>
          <w:p>
            <w:pPr>
              <w:adjustRightInd w:val="0"/>
              <w:snapToGrid w:val="0"/>
              <w:spacing w:line="360" w:lineRule="exact"/>
              <w:rPr>
                <w:rFonts w:ascii="宋体" w:hAnsi="宋体" w:eastAsia="宋体" w:cs="宋体"/>
              </w:rPr>
            </w:pPr>
          </w:p>
        </w:tc>
        <w:tc>
          <w:tcPr>
            <w:tcW w:w="1558"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2461"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ascii="宋体" w:hAnsi="宋体" w:eastAsia="宋体" w:cs="宋体"/>
              </w:rPr>
            </w:pPr>
          </w:p>
        </w:tc>
        <w:tc>
          <w:tcPr>
            <w:tcW w:w="1705" w:type="dxa"/>
          </w:tcPr>
          <w:p>
            <w:pPr>
              <w:adjustRightInd w:val="0"/>
              <w:snapToGrid w:val="0"/>
              <w:spacing w:line="360" w:lineRule="exact"/>
              <w:rPr>
                <w:rFonts w:ascii="宋体" w:hAnsi="宋体" w:eastAsia="宋体" w:cs="宋体"/>
              </w:rPr>
            </w:pPr>
          </w:p>
        </w:tc>
        <w:tc>
          <w:tcPr>
            <w:tcW w:w="1010" w:type="dxa"/>
          </w:tcPr>
          <w:p>
            <w:pPr>
              <w:adjustRightInd w:val="0"/>
              <w:snapToGrid w:val="0"/>
              <w:spacing w:line="360" w:lineRule="exact"/>
              <w:rPr>
                <w:rFonts w:ascii="宋体" w:hAnsi="宋体" w:eastAsia="宋体" w:cs="宋体"/>
              </w:rPr>
            </w:pPr>
          </w:p>
        </w:tc>
        <w:tc>
          <w:tcPr>
            <w:tcW w:w="1558"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2461"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ascii="宋体" w:hAnsi="宋体" w:eastAsia="宋体" w:cs="宋体"/>
              </w:rPr>
            </w:pPr>
          </w:p>
        </w:tc>
        <w:tc>
          <w:tcPr>
            <w:tcW w:w="1705" w:type="dxa"/>
          </w:tcPr>
          <w:p>
            <w:pPr>
              <w:adjustRightInd w:val="0"/>
              <w:snapToGrid w:val="0"/>
              <w:spacing w:line="360" w:lineRule="exact"/>
              <w:rPr>
                <w:rFonts w:ascii="宋体" w:hAnsi="宋体" w:eastAsia="宋体" w:cs="宋体"/>
              </w:rPr>
            </w:pPr>
          </w:p>
        </w:tc>
        <w:tc>
          <w:tcPr>
            <w:tcW w:w="1010" w:type="dxa"/>
          </w:tcPr>
          <w:p>
            <w:pPr>
              <w:adjustRightInd w:val="0"/>
              <w:snapToGrid w:val="0"/>
              <w:spacing w:line="360" w:lineRule="exact"/>
              <w:rPr>
                <w:rFonts w:ascii="宋体" w:hAnsi="宋体" w:eastAsia="宋体" w:cs="宋体"/>
              </w:rPr>
            </w:pPr>
          </w:p>
        </w:tc>
        <w:tc>
          <w:tcPr>
            <w:tcW w:w="1558"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2461"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ascii="宋体" w:hAnsi="宋体" w:eastAsia="宋体" w:cs="宋体"/>
              </w:rPr>
            </w:pPr>
          </w:p>
        </w:tc>
        <w:tc>
          <w:tcPr>
            <w:tcW w:w="1705" w:type="dxa"/>
          </w:tcPr>
          <w:p>
            <w:pPr>
              <w:adjustRightInd w:val="0"/>
              <w:snapToGrid w:val="0"/>
              <w:spacing w:line="360" w:lineRule="exact"/>
              <w:rPr>
                <w:rFonts w:ascii="宋体" w:hAnsi="宋体" w:eastAsia="宋体" w:cs="宋体"/>
              </w:rPr>
            </w:pPr>
          </w:p>
        </w:tc>
        <w:tc>
          <w:tcPr>
            <w:tcW w:w="1010" w:type="dxa"/>
          </w:tcPr>
          <w:p>
            <w:pPr>
              <w:adjustRightInd w:val="0"/>
              <w:snapToGrid w:val="0"/>
              <w:spacing w:line="360" w:lineRule="exact"/>
              <w:rPr>
                <w:rFonts w:ascii="宋体" w:hAnsi="宋体" w:eastAsia="宋体" w:cs="宋体"/>
              </w:rPr>
            </w:pPr>
          </w:p>
        </w:tc>
        <w:tc>
          <w:tcPr>
            <w:tcW w:w="1558"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2461"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898" w:type="dxa"/>
          </w:tcPr>
          <w:p>
            <w:pPr>
              <w:adjustRightInd w:val="0"/>
              <w:snapToGrid w:val="0"/>
              <w:spacing w:line="360" w:lineRule="exact"/>
              <w:jc w:val="center"/>
              <w:rPr>
                <w:rFonts w:ascii="宋体" w:hAnsi="宋体" w:eastAsia="宋体" w:cs="宋体"/>
              </w:rPr>
            </w:pPr>
          </w:p>
        </w:tc>
        <w:tc>
          <w:tcPr>
            <w:tcW w:w="1705" w:type="dxa"/>
          </w:tcPr>
          <w:p>
            <w:pPr>
              <w:adjustRightInd w:val="0"/>
              <w:snapToGrid w:val="0"/>
              <w:spacing w:line="360" w:lineRule="exact"/>
              <w:rPr>
                <w:rFonts w:ascii="宋体" w:hAnsi="宋体" w:eastAsia="宋体" w:cs="宋体"/>
              </w:rPr>
            </w:pPr>
          </w:p>
        </w:tc>
        <w:tc>
          <w:tcPr>
            <w:tcW w:w="1010" w:type="dxa"/>
          </w:tcPr>
          <w:p>
            <w:pPr>
              <w:adjustRightInd w:val="0"/>
              <w:snapToGrid w:val="0"/>
              <w:spacing w:line="360" w:lineRule="exact"/>
              <w:rPr>
                <w:rFonts w:ascii="宋体" w:hAnsi="宋体" w:eastAsia="宋体" w:cs="宋体"/>
              </w:rPr>
            </w:pPr>
          </w:p>
        </w:tc>
        <w:tc>
          <w:tcPr>
            <w:tcW w:w="1558"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2461" w:type="dxa"/>
          </w:tcPr>
          <w:p>
            <w:pPr>
              <w:adjustRightInd w:val="0"/>
              <w:snapToGrid w:val="0"/>
              <w:spacing w:line="360" w:lineRule="exact"/>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898" w:type="dxa"/>
          </w:tcPr>
          <w:p>
            <w:pPr>
              <w:adjustRightInd w:val="0"/>
              <w:snapToGrid w:val="0"/>
              <w:spacing w:line="360" w:lineRule="exact"/>
              <w:jc w:val="center"/>
              <w:rPr>
                <w:rFonts w:ascii="宋体" w:hAnsi="宋体" w:eastAsia="宋体" w:cs="宋体"/>
              </w:rPr>
            </w:pPr>
          </w:p>
        </w:tc>
        <w:tc>
          <w:tcPr>
            <w:tcW w:w="1705" w:type="dxa"/>
          </w:tcPr>
          <w:p>
            <w:pPr>
              <w:adjustRightInd w:val="0"/>
              <w:snapToGrid w:val="0"/>
              <w:spacing w:line="360" w:lineRule="exact"/>
              <w:rPr>
                <w:rFonts w:ascii="宋体" w:hAnsi="宋体" w:eastAsia="宋体" w:cs="宋体"/>
              </w:rPr>
            </w:pPr>
          </w:p>
        </w:tc>
        <w:tc>
          <w:tcPr>
            <w:tcW w:w="1010" w:type="dxa"/>
          </w:tcPr>
          <w:p>
            <w:pPr>
              <w:adjustRightInd w:val="0"/>
              <w:snapToGrid w:val="0"/>
              <w:spacing w:line="360" w:lineRule="exact"/>
              <w:rPr>
                <w:rFonts w:ascii="宋体" w:hAnsi="宋体" w:eastAsia="宋体" w:cs="宋体"/>
              </w:rPr>
            </w:pPr>
          </w:p>
        </w:tc>
        <w:tc>
          <w:tcPr>
            <w:tcW w:w="1558"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793" w:type="dxa"/>
          </w:tcPr>
          <w:p>
            <w:pPr>
              <w:adjustRightInd w:val="0"/>
              <w:snapToGrid w:val="0"/>
              <w:spacing w:line="360" w:lineRule="exact"/>
              <w:jc w:val="center"/>
              <w:rPr>
                <w:rFonts w:ascii="宋体" w:hAnsi="宋体" w:eastAsia="宋体" w:cs="宋体"/>
              </w:rPr>
            </w:pPr>
          </w:p>
        </w:tc>
        <w:tc>
          <w:tcPr>
            <w:tcW w:w="2461" w:type="dxa"/>
          </w:tcPr>
          <w:p>
            <w:pPr>
              <w:adjustRightInd w:val="0"/>
              <w:snapToGrid w:val="0"/>
              <w:spacing w:line="360" w:lineRule="exact"/>
              <w:rPr>
                <w:rFonts w:ascii="宋体" w:hAnsi="宋体" w:eastAsia="宋体" w:cs="宋体"/>
              </w:rPr>
            </w:pPr>
          </w:p>
        </w:tc>
      </w:tr>
    </w:tbl>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6.2“开标一览表”和“明细表”仅作为投标人编制投标技术文件的一般格式。其中序号编写应当便于招标人了解分类或分项货物之间的所属关系，如1、1.1、1.2；</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6.3应当尽可能将货物的配置列全、列细，这将有助于投标人胜出；</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6.4单价与总价之间、总价与分类小计价之间、分类小计价与合计价之间数据应当齐全而且准确；</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6.5本条款表格中的制造商，应当为全称或公认的简称。</w:t>
      </w:r>
    </w:p>
    <w:p>
      <w:pPr>
        <w:pStyle w:val="121"/>
        <w:spacing w:line="360" w:lineRule="auto"/>
      </w:pPr>
      <w:r>
        <w:rPr>
          <w:rFonts w:hint="eastAsia"/>
        </w:rPr>
        <w:t>二、技术文件中货物报价格式要求</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2.如果投标总报价与其它价格出现错误或不一致，将有可能导致废标。</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4.备品备件、易损件和专用耗材，招标人将可能与投标人按照投标价格另行签署供货合同。</w:t>
      </w:r>
    </w:p>
    <w:p>
      <w:pPr>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5.要求投标总报价、分项报价、明细报价之间应当具有相互间对应关系以及填报分项和明细报价，仅为便于评标而不妨碍投标人以最合适的形式签署合同。</w:t>
      </w:r>
    </w:p>
    <w:p>
      <w:pPr>
        <w:pStyle w:val="121"/>
        <w:spacing w:line="360" w:lineRule="auto"/>
      </w:pPr>
      <w:r>
        <w:rPr>
          <w:rFonts w:hint="eastAsia"/>
        </w:rPr>
        <w:t>三、验收标准及内容要求</w:t>
      </w:r>
    </w:p>
    <w:p>
      <w:pPr>
        <w:adjustRightInd w:val="0"/>
        <w:snapToGrid w:val="0"/>
        <w:spacing w:line="360" w:lineRule="auto"/>
        <w:ind w:firstLine="480" w:firstLineChars="200"/>
        <w:rPr>
          <w:rFonts w:ascii="Times New Roman" w:hAnsi="Times New Roman" w:eastAsia="宋体" w:cs="宋体"/>
          <w:sz w:val="24"/>
          <w:szCs w:val="24"/>
        </w:rPr>
      </w:pPr>
      <w:r>
        <w:rPr>
          <w:rFonts w:hint="eastAsia" w:ascii="Times New Roman" w:hAnsi="Times New Roman"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pPr>
        <w:pStyle w:val="3"/>
        <w:spacing w:before="120" w:after="120" w:line="360" w:lineRule="auto"/>
        <w:rPr>
          <w:rFonts w:ascii="Times New Roman" w:hAnsi="Times New Roman" w:cs="宋体"/>
          <w:b w:val="0"/>
          <w:sz w:val="24"/>
          <w:szCs w:val="24"/>
        </w:rPr>
        <w:sectPr>
          <w:footerReference r:id="rId12" w:type="first"/>
          <w:footerReference r:id="rId11" w:type="default"/>
          <w:pgSz w:w="11906" w:h="16838"/>
          <w:pgMar w:top="1588" w:right="1418" w:bottom="1134" w:left="1418" w:header="851" w:footer="992" w:gutter="0"/>
          <w:cols w:space="720" w:num="1"/>
          <w:titlePg/>
          <w:docGrid w:linePitch="312" w:charSpace="0"/>
        </w:sectPr>
      </w:pPr>
      <w:bookmarkStart w:id="97" w:name="_Toc465187648"/>
    </w:p>
    <w:bookmarkEnd w:id="97"/>
    <w:p>
      <w:pPr>
        <w:keepNext/>
        <w:keepLines/>
        <w:jc w:val="center"/>
        <w:outlineLvl w:val="0"/>
        <w:rPr>
          <w:rFonts w:ascii="宋体" w:hAnsi="宋体" w:eastAsia="宋体"/>
          <w:b/>
          <w:color w:val="000000"/>
          <w:kern w:val="44"/>
          <w:sz w:val="30"/>
          <w:szCs w:val="24"/>
        </w:rPr>
      </w:pPr>
      <w:r>
        <w:rPr>
          <w:rFonts w:ascii="宋体" w:hAnsi="宋体" w:eastAsia="宋体"/>
          <w:b/>
          <w:color w:val="000000"/>
          <w:kern w:val="44"/>
          <w:sz w:val="30"/>
          <w:szCs w:val="24"/>
        </w:rPr>
        <w:t>第</w:t>
      </w:r>
      <w:r>
        <w:rPr>
          <w:rFonts w:hint="eastAsia" w:ascii="宋体" w:hAnsi="宋体" w:eastAsia="宋体"/>
          <w:b/>
          <w:color w:val="000000"/>
          <w:kern w:val="44"/>
          <w:sz w:val="30"/>
          <w:szCs w:val="24"/>
        </w:rPr>
        <w:t>七</w:t>
      </w:r>
      <w:r>
        <w:rPr>
          <w:rFonts w:ascii="宋体" w:hAnsi="宋体" w:eastAsia="宋体"/>
          <w:b/>
          <w:color w:val="000000"/>
          <w:kern w:val="44"/>
          <w:sz w:val="30"/>
          <w:szCs w:val="24"/>
        </w:rPr>
        <w:t>章  其它要求及说明</w:t>
      </w:r>
    </w:p>
    <w:p>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一、要求</w:t>
      </w:r>
    </w:p>
    <w:p>
      <w:pPr>
        <w:spacing w:after="120" w:line="420" w:lineRule="exact"/>
        <w:ind w:left="420" w:left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为保证本技术标书所列采购货物的质量以及先进性、可靠性、经济性和实用性，要求投标方在投标文件中，至少应具备以下资格证明文件或资料：</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1、投标方应是独立法人或得到法人授权的机构。应当在投标文件中提供法人营业执照（复印件）、税务登记证以及组织机构代码证（国际供应商参考该要求提供有效证明文件），并保证其真实性和有效性。</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2、投标方应当是通过有关资格认证的法人。应当在投标文件中提供有效期内的资格认证证书，如：ISO9001、VDA6.1、QS9000等。</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3、国产设备应附有采购货物（或设备）涉及的由“中国质量认证中心”颁发的《中国国家强制性产品认证证书》（CCC证书）。</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4、应附有其它与投标单位、采购货物有关的荣誉证书或资料。</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5、必须附有投标货物涉及产品要求的、国家或行业管理规定要求的、或者投标方认为能够体现其投标货物合法性及先进性的最高级别的证明材料（投标货物不涉及的除外）：</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5.1  国家相关机构颁发的有效期之内所必需的《生产许可证》。</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5.2  产品（或技术）鉴定报告/证书、专利证书或专利许可证书、新技术成果证书等。</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5.3  产品相关检验、试验报告，如：型式试验检验报告、安全试验检验报告、电弧效应试验报告、噪声检测报告等</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5.4  其它能够证明所供货物的质量水平、技术水平、安全性水平、节能性水平、环保性水平等相关的其它证明文件或资料、报告等。</w:t>
      </w:r>
    </w:p>
    <w:p>
      <w:pPr>
        <w:spacing w:line="420" w:lineRule="exact"/>
        <w:ind w:firstLine="477" w:firstLineChars="199"/>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5.5  该类报告或证明材料对于投标方胜出乃至中标极为重要！</w:t>
      </w:r>
    </w:p>
    <w:p>
      <w:pPr>
        <w:spacing w:line="420" w:lineRule="exact"/>
        <w:ind w:firstLine="479" w:firstLineChars="199"/>
        <w:rPr>
          <w:rFonts w:ascii="Times New Roman" w:hAnsi="Times New Roman" w:eastAsia="宋体" w:cs="Times New Roman"/>
          <w:b/>
          <w:color w:val="000000"/>
          <w:sz w:val="24"/>
          <w:szCs w:val="20"/>
        </w:rPr>
      </w:pPr>
      <w:r>
        <w:rPr>
          <w:rFonts w:ascii="Times New Roman" w:hAnsi="Times New Roman" w:eastAsia="宋体" w:cs="Times New Roman"/>
          <w:b/>
          <w:color w:val="000000"/>
          <w:sz w:val="24"/>
          <w:szCs w:val="20"/>
        </w:rPr>
        <w:t>6、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方应当保证其业绩的真实性，否则将影响投标或中标资格。</w:t>
      </w:r>
    </w:p>
    <w:p>
      <w:pPr>
        <w:spacing w:line="420" w:lineRule="exact"/>
        <w:ind w:firstLine="479" w:firstLineChars="199"/>
        <w:rPr>
          <w:rFonts w:ascii="Times New Roman" w:hAnsi="Times New Roman" w:eastAsia="宋体" w:cs="Times New Roman"/>
          <w:b/>
          <w:color w:val="000000"/>
          <w:sz w:val="24"/>
          <w:szCs w:val="20"/>
        </w:rPr>
      </w:pPr>
      <w:r>
        <w:rPr>
          <w:rFonts w:hint="eastAsia" w:ascii="Times New Roman" w:hAnsi="Times New Roman" w:eastAsia="宋体" w:cs="Times New Roman"/>
          <w:b/>
          <w:color w:val="000000"/>
          <w:sz w:val="24"/>
          <w:szCs w:val="20"/>
          <w:highlight w:val="yellow"/>
        </w:rPr>
        <w:t>7、设备外观</w:t>
      </w:r>
      <w:r>
        <w:rPr>
          <w:rFonts w:hint="eastAsia" w:ascii="宋体" w:hAnsi="宋体" w:eastAsia="宋体" w:cs="宋体"/>
          <w:b/>
          <w:bCs/>
          <w:sz w:val="24"/>
          <w:szCs w:val="20"/>
          <w:highlight w:val="yellow"/>
        </w:rPr>
        <w:t>不能存在供应商名称和品牌LOGO等标识。</w:t>
      </w:r>
    </w:p>
    <w:p>
      <w:pPr>
        <w:keepNext/>
        <w:keepLines/>
        <w:jc w:val="left"/>
        <w:outlineLvl w:val="1"/>
        <w:rPr>
          <w:rFonts w:ascii="Times New Roman" w:hAnsi="Times New Roman" w:eastAsia="黑体"/>
          <w:bCs/>
          <w:sz w:val="28"/>
          <w:szCs w:val="30"/>
        </w:rPr>
      </w:pPr>
      <w:r>
        <w:rPr>
          <w:rFonts w:ascii="Times New Roman" w:hAnsi="Times New Roman" w:eastAsia="黑体"/>
          <w:bCs/>
          <w:sz w:val="28"/>
          <w:szCs w:val="30"/>
        </w:rPr>
        <w:t>二、说明</w:t>
      </w:r>
    </w:p>
    <w:p>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1、投标方可以根据自身的技术、经验等优势以及对招标文件和本技术标书的理解，写明对招标方所采购货物的优化方案或建议意见。投标方的这些努力，招标方表示感谢，并将有助于投标方优先胜出。</w:t>
      </w:r>
    </w:p>
    <w:p>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2、即使有建议意见或建议方案，仍应依据招标文件和本技术标书要求，编写符合要求的投标文件。建议方案或建议意见，应以单独篇章或文件，予以说明和报价。</w:t>
      </w:r>
    </w:p>
    <w:p>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3、请投标方仔细阅读“采购货物概况”章节内说明，针对允许分投分中的货物，招标方有权利选择其中优秀设备或服务，作为投标方合同供货范围中的指定选用设备或服务（替代投标方分投而未中标部分）。</w:t>
      </w:r>
    </w:p>
    <w:p>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4、招标文件、投标文件、答疑文件、技术交流文件、技术协议书等，在采购过程全部为有效文件，如有差异，以对招标方最有利的条款为准。</w:t>
      </w:r>
    </w:p>
    <w:p>
      <w:pPr>
        <w:spacing w:line="420" w:lineRule="exact"/>
        <w:ind w:firstLine="480" w:firstLineChars="200"/>
        <w:rPr>
          <w:rFonts w:ascii="Times New Roman" w:hAnsi="Times New Roman" w:eastAsia="宋体" w:cs="Times New Roman"/>
          <w:color w:val="000000"/>
          <w:sz w:val="24"/>
          <w:szCs w:val="20"/>
        </w:rPr>
      </w:pPr>
      <w:r>
        <w:rPr>
          <w:rFonts w:ascii="Times New Roman" w:hAnsi="Times New Roman" w:eastAsia="宋体" w:cs="Times New Roman"/>
          <w:color w:val="000000"/>
          <w:sz w:val="24"/>
          <w:szCs w:val="20"/>
        </w:rPr>
        <w:t>5、为避免</w:t>
      </w:r>
      <w:r>
        <w:rPr>
          <w:rFonts w:hint="eastAsia" w:ascii="Times New Roman" w:hAnsi="Times New Roman" w:eastAsia="宋体" w:cs="Times New Roman"/>
          <w:color w:val="000000"/>
          <w:sz w:val="24"/>
          <w:szCs w:val="20"/>
        </w:rPr>
        <w:t>歧义</w:t>
      </w:r>
      <w:r>
        <w:rPr>
          <w:rFonts w:ascii="Times New Roman" w:hAnsi="Times New Roman" w:eastAsia="宋体" w:cs="Times New Roman"/>
          <w:color w:val="000000"/>
          <w:sz w:val="24"/>
          <w:szCs w:val="20"/>
        </w:rPr>
        <w:t>，本技术标书涉及招投标环节的条款，均将潜在的卖方称为投标方、将买方称为招标方；定标后合同签署环节以及后续的合同执行环节条款，招标方称为买方、投标方中的中标方称为卖方。</w:t>
      </w:r>
    </w:p>
    <w:p>
      <w:pPr>
        <w:pStyle w:val="20"/>
        <w:spacing w:line="360" w:lineRule="auto"/>
        <w:rPr>
          <w:rFonts w:hAnsi="宋体" w:eastAsia="宋体" w:cs="宋体"/>
        </w:rPr>
        <w:sectPr>
          <w:footerReference r:id="rId14" w:type="first"/>
          <w:footerReference r:id="rId13" w:type="default"/>
          <w:pgSz w:w="11907" w:h="16840"/>
          <w:pgMar w:top="1304" w:right="1418" w:bottom="1304" w:left="1418" w:header="724" w:footer="851" w:gutter="0"/>
          <w:cols w:space="720" w:num="1"/>
          <w:docGrid w:linePitch="290" w:charSpace="-3931"/>
        </w:sectPr>
      </w:pPr>
    </w:p>
    <w:p>
      <w:pPr>
        <w:pStyle w:val="20"/>
      </w:pPr>
    </w:p>
    <w:p>
      <w:pPr>
        <w:spacing w:line="360" w:lineRule="auto"/>
        <w:jc w:val="center"/>
        <w:outlineLvl w:val="0"/>
        <w:rPr>
          <w:rFonts w:ascii="宋体" w:hAnsi="Calibri" w:eastAsia="宋体" w:cs="Times New Roman"/>
          <w:b/>
          <w:sz w:val="36"/>
          <w:szCs w:val="36"/>
        </w:rPr>
      </w:pPr>
      <w:bookmarkStart w:id="98"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98"/>
    </w:p>
    <w:p>
      <w:pPr>
        <w:adjustRightInd w:val="0"/>
        <w:snapToGrid w:val="0"/>
        <w:spacing w:line="360" w:lineRule="auto"/>
        <w:jc w:val="left"/>
        <w:rPr>
          <w:rFonts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sz w:val="52"/>
          <w:szCs w:val="36"/>
        </w:rPr>
      </w:pPr>
      <w:r>
        <w:rPr>
          <w:rFonts w:hint="eastAsia" w:ascii="方正小标宋简体" w:hAnsi="宋体" w:eastAsia="方正小标宋简体"/>
          <w:bCs/>
          <w:sz w:val="52"/>
          <w:szCs w:val="36"/>
        </w:rPr>
        <w:t>设备采购合同（模板）</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sectPr>
          <w:footerReference r:id="rId15" w:type="default"/>
          <w:pgSz w:w="11907" w:h="16840"/>
          <w:pgMar w:top="1304" w:right="1418" w:bottom="1304" w:left="1418" w:header="724" w:footer="851" w:gutter="0"/>
          <w:cols w:space="720" w:num="1"/>
          <w:docGrid w:linePitch="290" w:charSpace="-3931"/>
        </w:sectPr>
      </w:pPr>
    </w:p>
    <w:p>
      <w:pPr>
        <w:spacing w:line="360" w:lineRule="auto"/>
        <w:rPr>
          <w:rFonts w:ascii="仿宋_GB2312" w:hAnsi="宋体" w:eastAsia="仿宋_GB2312" w:cs="宋体"/>
          <w:bCs/>
          <w:sz w:val="24"/>
          <w:szCs w:val="24"/>
        </w:rPr>
      </w:pPr>
      <w:r>
        <w:rPr>
          <w:rFonts w:hint="eastAsia" w:ascii="宋体" w:hAnsi="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本设备采购合同由甲乙双方于山东省济南市（可根据实际情况调整）签订：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99" w:name="_Toc11930"/>
      <w:bookmarkStart w:id="100" w:name="_Toc11823"/>
      <w:bookmarkStart w:id="101" w:name="_Toc17619"/>
      <w:bookmarkStart w:id="102" w:name="_Toc16330018"/>
      <w:bookmarkStart w:id="103" w:name="_Toc9465"/>
      <w:r>
        <w:rPr>
          <w:rFonts w:hint="eastAsia" w:ascii="黑体" w:hAnsi="黑体" w:eastAsia="黑体" w:cstheme="minorEastAsia"/>
          <w:b w:val="0"/>
          <w:sz w:val="28"/>
          <w:szCs w:val="28"/>
        </w:rPr>
        <w:t>1 合同设备</w:t>
      </w:r>
      <w:bookmarkEnd w:id="99"/>
      <w:bookmarkEnd w:id="100"/>
      <w:bookmarkEnd w:id="101"/>
      <w:bookmarkEnd w:id="102"/>
      <w:bookmarkEnd w:id="10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104" w:name="_Toc29026"/>
      <w:bookmarkStart w:id="105" w:name="_Toc32510"/>
      <w:bookmarkStart w:id="106" w:name="_Toc22800"/>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07" w:name="_Toc7716"/>
      <w:bookmarkStart w:id="108" w:name="_Toc16330019"/>
      <w:r>
        <w:rPr>
          <w:rFonts w:hint="eastAsia" w:ascii="黑体" w:hAnsi="黑体" w:eastAsia="黑体" w:cstheme="minorEastAsia"/>
          <w:b w:val="0"/>
          <w:sz w:val="28"/>
          <w:szCs w:val="28"/>
        </w:rPr>
        <w:t>2 包装</w:t>
      </w:r>
      <w:bookmarkEnd w:id="104"/>
      <w:bookmarkEnd w:id="105"/>
      <w:bookmarkEnd w:id="106"/>
      <w:bookmarkEnd w:id="107"/>
      <w:bookmarkEnd w:id="10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09" w:name="_Toc2833"/>
      <w:bookmarkStart w:id="110" w:name="_Toc16330020"/>
      <w:bookmarkStart w:id="111" w:name="_Toc27453"/>
      <w:bookmarkStart w:id="112" w:name="_Toc30507"/>
      <w:bookmarkStart w:id="113" w:name="_Toc27144"/>
      <w:r>
        <w:rPr>
          <w:rFonts w:hint="eastAsia" w:ascii="黑体" w:hAnsi="黑体" w:eastAsia="黑体" w:cstheme="minorEastAsia"/>
          <w:b w:val="0"/>
          <w:sz w:val="28"/>
          <w:szCs w:val="28"/>
        </w:rPr>
        <w:t>3 运输标记</w:t>
      </w:r>
      <w:bookmarkEnd w:id="109"/>
      <w:bookmarkEnd w:id="110"/>
      <w:bookmarkEnd w:id="111"/>
      <w:bookmarkEnd w:id="112"/>
      <w:bookmarkEnd w:id="11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14" w:name="_Toc16133"/>
      <w:bookmarkStart w:id="115" w:name="_Toc8624"/>
      <w:bookmarkStart w:id="116" w:name="_Toc7431"/>
      <w:bookmarkStart w:id="117" w:name="_Toc10630"/>
      <w:bookmarkStart w:id="118" w:name="_Toc16330021"/>
      <w:r>
        <w:rPr>
          <w:rFonts w:hint="eastAsia" w:ascii="黑体" w:hAnsi="黑体" w:eastAsia="黑体" w:cstheme="minorEastAsia"/>
          <w:b w:val="0"/>
          <w:sz w:val="28"/>
          <w:szCs w:val="28"/>
        </w:rPr>
        <w:t>4 检验</w:t>
      </w:r>
      <w:bookmarkEnd w:id="114"/>
      <w:bookmarkEnd w:id="115"/>
      <w:bookmarkEnd w:id="116"/>
      <w:bookmarkEnd w:id="117"/>
      <w:bookmarkEnd w:id="11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19" w:name="_Toc24467"/>
      <w:bookmarkStart w:id="120" w:name="_Toc19850"/>
      <w:bookmarkStart w:id="121" w:name="_Toc14275"/>
      <w:bookmarkStart w:id="122" w:name="_Toc16330022"/>
      <w:bookmarkStart w:id="123" w:name="_Toc11217"/>
      <w:r>
        <w:rPr>
          <w:rFonts w:hint="eastAsia" w:ascii="黑体" w:hAnsi="黑体" w:eastAsia="黑体" w:cstheme="minorEastAsia"/>
          <w:b w:val="0"/>
          <w:sz w:val="28"/>
          <w:szCs w:val="28"/>
        </w:rPr>
        <w:t>5 权利担保</w:t>
      </w:r>
      <w:bookmarkEnd w:id="119"/>
      <w:bookmarkEnd w:id="120"/>
      <w:bookmarkEnd w:id="121"/>
      <w:bookmarkEnd w:id="122"/>
      <w:bookmarkEnd w:id="123"/>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24" w:name="_Toc20827"/>
      <w:bookmarkStart w:id="125" w:name="_Toc16330023"/>
      <w:bookmarkStart w:id="126" w:name="_Toc14809"/>
      <w:bookmarkStart w:id="127" w:name="_Toc11759"/>
      <w:bookmarkStart w:id="128" w:name="_Toc27500"/>
      <w:r>
        <w:rPr>
          <w:rFonts w:hint="eastAsia" w:ascii="黑体" w:hAnsi="黑体" w:eastAsia="黑体" w:cstheme="minorEastAsia"/>
          <w:b w:val="0"/>
          <w:sz w:val="28"/>
          <w:szCs w:val="28"/>
        </w:rPr>
        <w:t>6 交货</w:t>
      </w:r>
      <w:bookmarkEnd w:id="124"/>
      <w:bookmarkEnd w:id="125"/>
      <w:bookmarkEnd w:id="126"/>
      <w:bookmarkEnd w:id="127"/>
      <w:bookmarkEnd w:id="12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6.8如果卖方在规定的日期前交付设备，需经买方书面同意。</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29" w:name="_Toc16330024"/>
      <w:bookmarkStart w:id="130" w:name="_Toc25510"/>
      <w:bookmarkStart w:id="131" w:name="_Toc2984"/>
      <w:bookmarkStart w:id="132" w:name="_Toc8024"/>
      <w:bookmarkStart w:id="133" w:name="_Toc23308"/>
      <w:r>
        <w:rPr>
          <w:rFonts w:hint="eastAsia" w:ascii="黑体" w:hAnsi="黑体" w:eastAsia="黑体" w:cstheme="minorEastAsia"/>
          <w:b w:val="0"/>
          <w:sz w:val="28"/>
          <w:szCs w:val="28"/>
        </w:rPr>
        <w:t>7 安装、调试</w:t>
      </w:r>
      <w:bookmarkEnd w:id="129"/>
      <w:bookmarkEnd w:id="130"/>
      <w:bookmarkEnd w:id="131"/>
      <w:bookmarkEnd w:id="132"/>
      <w:bookmarkEnd w:id="133"/>
    </w:p>
    <w:p>
      <w:pPr>
        <w:pStyle w:val="15"/>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4" w:name="_Toc16330025"/>
      <w:bookmarkStart w:id="135" w:name="_Toc14098"/>
      <w:bookmarkStart w:id="136" w:name="_Toc14260"/>
      <w:bookmarkStart w:id="137" w:name="_Toc6350"/>
      <w:bookmarkStart w:id="138" w:name="_Toc15547"/>
      <w:r>
        <w:rPr>
          <w:rFonts w:hint="eastAsia" w:ascii="黑体" w:hAnsi="黑体" w:eastAsia="黑体" w:cstheme="minorEastAsia"/>
          <w:b w:val="0"/>
          <w:sz w:val="28"/>
          <w:szCs w:val="28"/>
        </w:rPr>
        <w:t>8 价款与支付</w:t>
      </w:r>
      <w:bookmarkEnd w:id="134"/>
      <w:bookmarkEnd w:id="135"/>
      <w:bookmarkEnd w:id="136"/>
      <w:bookmarkEnd w:id="137"/>
      <w:bookmarkEnd w:id="138"/>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），若国家出台新政策对增值税率进行了调整，本合同含税总价保持不变。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8.3.1合同生效后, 卖方提交金额为合同含税价款30%的收据（正本一份，复印件二份）及增值税专用发票（税率为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8.3.2设备全部到齐无质量问题后, 卖方提交金额为合同含税价款30%的收据（正本一份，复印件二份）及合同价30%增值税专用发票（税率为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8.3.3设备全部到齐无质量问题，经安装、调试最终验收合格后，卖方提交金额为合同含税价款30%的收据及合同价40%增值税专用发票（税率为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%，正本一份，复印件二份）并附带该套合同设备最终验收报告的原件及其复印件两份，经买方依照财务制度审核通过后30日支付：</w:t>
      </w:r>
    </w:p>
    <w:p>
      <w:pPr>
        <w:spacing w:line="360" w:lineRule="auto"/>
        <w:ind w:firstLine="453" w:firstLineChars="189"/>
        <w:rPr>
          <w:rFonts w:asciiTheme="minorEastAsia" w:hAnsiTheme="minorEastAsia" w:cstheme="minorEastAsia"/>
          <w:sz w:val="20"/>
          <w:szCs w:val="20"/>
        </w:rPr>
      </w:pPr>
      <w:bookmarkStart w:id="139" w:name="_Toc14531628"/>
      <w:bookmarkStart w:id="140" w:name="_Toc14676804"/>
      <w:r>
        <w:rPr>
          <w:rFonts w:hint="eastAsia" w:ascii="仿宋_GB2312" w:hAnsi="黑体" w:eastAsia="仿宋_GB2312" w:cstheme="minorEastAsia"/>
          <w:sz w:val="24"/>
          <w:szCs w:val="24"/>
        </w:rPr>
        <w:t>8.3.4合同含税总价款的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通过后30日支付。如有质量问题，质量保证金予以相应扣除。</w:t>
      </w:r>
      <w:bookmarkEnd w:id="139"/>
      <w:bookmarkEnd w:id="140"/>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1" w:name="_Toc25708"/>
      <w:bookmarkStart w:id="142" w:name="_Toc6726"/>
      <w:bookmarkStart w:id="143" w:name="_Toc21726"/>
      <w:bookmarkStart w:id="144" w:name="_Toc16330026"/>
      <w:bookmarkStart w:id="145" w:name="_Toc24085"/>
      <w:r>
        <w:rPr>
          <w:rFonts w:hint="eastAsia" w:ascii="黑体" w:hAnsi="黑体" w:eastAsia="黑体" w:cstheme="minorEastAsia"/>
          <w:b w:val="0"/>
          <w:sz w:val="28"/>
          <w:szCs w:val="28"/>
        </w:rPr>
        <w:t>9 质量保证及售后服务</w:t>
      </w:r>
      <w:bookmarkEnd w:id="141"/>
      <w:bookmarkEnd w:id="142"/>
      <w:bookmarkEnd w:id="143"/>
      <w:bookmarkEnd w:id="144"/>
      <w:bookmarkEnd w:id="145"/>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6" w:name="_Toc26769"/>
      <w:bookmarkStart w:id="147" w:name="_Toc12927"/>
      <w:bookmarkStart w:id="148" w:name="_Toc16330027"/>
      <w:bookmarkStart w:id="149" w:name="_Toc10359"/>
      <w:bookmarkStart w:id="150" w:name="_Toc15570"/>
      <w:r>
        <w:rPr>
          <w:rFonts w:hint="eastAsia" w:ascii="黑体" w:hAnsi="黑体" w:eastAsia="黑体" w:cstheme="minorEastAsia"/>
          <w:b w:val="0"/>
          <w:sz w:val="28"/>
          <w:szCs w:val="28"/>
        </w:rPr>
        <w:t>10法定责任</w:t>
      </w:r>
      <w:bookmarkEnd w:id="146"/>
      <w:bookmarkEnd w:id="147"/>
      <w:bookmarkEnd w:id="148"/>
      <w:bookmarkEnd w:id="149"/>
      <w:bookmarkEnd w:id="150"/>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51" w:name="_Toc16330028"/>
      <w:bookmarkStart w:id="152" w:name="_Toc30381"/>
      <w:bookmarkStart w:id="153" w:name="_Toc27314"/>
      <w:bookmarkStart w:id="154" w:name="_Toc7698"/>
      <w:bookmarkStart w:id="155" w:name="_Toc9708"/>
      <w:r>
        <w:rPr>
          <w:rFonts w:hint="eastAsia" w:ascii="黑体" w:hAnsi="黑体" w:eastAsia="黑体" w:cstheme="minorEastAsia"/>
          <w:b w:val="0"/>
          <w:sz w:val="28"/>
          <w:szCs w:val="28"/>
        </w:rPr>
        <w:t>11 违约责任</w:t>
      </w:r>
      <w:bookmarkEnd w:id="151"/>
      <w:bookmarkEnd w:id="152"/>
      <w:bookmarkEnd w:id="153"/>
      <w:bookmarkEnd w:id="154"/>
      <w:bookmarkEnd w:id="155"/>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11.3如果卖方未能按期到货，卖方应向买方支付违约金，违约金比率为每迟交壹日，按合同总价的10‰计算，但是违约金的金额不得超过合同总价款的 20 %，如果卖方在达到违约金的最高限额后仍不能交货，买方有权就卖方违约而解除本合同，且卖方仍须支付上述违约金，并赔偿由此给买方造成的一切损失。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11.4如卖方未按7.1条履行义务，从逾期之日起卖方每天按合同总价款的 10 ‰支付给买方作违约金，但是违约金的金额不得超过合同总价的 20 %。如果卖方在达到违约金的最高限额或者不能使设备通过最终验收，买方有权就卖方违约而解除本合同，且卖方仍须支付上述违约金，并返还买方支付的设备款，并赔偿由此给买方造成的一切损失。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bookmarkStart w:id="156" w:name="_Toc31554"/>
      <w:bookmarkStart w:id="157" w:name="_Toc1827"/>
      <w:bookmarkStart w:id="158" w:name="_Toc16330029"/>
      <w:bookmarkStart w:id="159" w:name="_Toc9172"/>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bookmarkEnd w:id="156"/>
    <w:bookmarkEnd w:id="157"/>
    <w:bookmarkEnd w:id="158"/>
    <w:bookmarkEnd w:id="159"/>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60" w:name="_Toc23793"/>
      <w:r>
        <w:rPr>
          <w:rFonts w:hint="eastAsia" w:ascii="黑体" w:hAnsi="黑体" w:eastAsia="黑体" w:cstheme="minorEastAsia"/>
          <w:b w:val="0"/>
          <w:sz w:val="28"/>
          <w:szCs w:val="28"/>
        </w:rPr>
        <w:t>12 合同的终止与解除</w:t>
      </w:r>
      <w:bookmarkEnd w:id="160"/>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12.3有下列情形之一的，买方可以解除本合同：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12.3.1卖方明确表示或者以自己的行为表明不履行主要义务的；</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12.3.2按照本合同第11.3条或第11.4条的规定，达到违约金的最高限额；</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12.3.3卖方所提交的设备不符合本合同的规定；</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61" w:name="_Toc31945"/>
      <w:bookmarkStart w:id="162" w:name="_Toc13671"/>
      <w:bookmarkStart w:id="163" w:name="_Toc16330030"/>
      <w:bookmarkStart w:id="164" w:name="_Toc8620"/>
      <w:bookmarkStart w:id="165" w:name="_Toc11937"/>
      <w:r>
        <w:rPr>
          <w:rFonts w:hint="eastAsia" w:ascii="黑体" w:hAnsi="黑体" w:eastAsia="黑体" w:cstheme="minorEastAsia"/>
          <w:b w:val="0"/>
          <w:sz w:val="28"/>
          <w:szCs w:val="28"/>
        </w:rPr>
        <w:t>13 不可抗力</w:t>
      </w:r>
      <w:bookmarkEnd w:id="161"/>
      <w:bookmarkEnd w:id="162"/>
      <w:bookmarkEnd w:id="163"/>
      <w:bookmarkEnd w:id="164"/>
      <w:bookmarkEnd w:id="16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66" w:name="_Toc31243"/>
      <w:bookmarkStart w:id="167" w:name="_Toc18772"/>
      <w:bookmarkStart w:id="168" w:name="_Toc637"/>
      <w:bookmarkStart w:id="169" w:name="_Toc16330031"/>
      <w:bookmarkStart w:id="170" w:name="_Toc30389"/>
      <w:r>
        <w:rPr>
          <w:rFonts w:hint="eastAsia" w:ascii="黑体" w:hAnsi="黑体" w:eastAsia="黑体" w:cstheme="minorEastAsia"/>
          <w:b w:val="0"/>
          <w:sz w:val="28"/>
          <w:szCs w:val="28"/>
        </w:rPr>
        <w:t>14 通讯</w:t>
      </w:r>
      <w:bookmarkEnd w:id="166"/>
      <w:bookmarkEnd w:id="167"/>
      <w:bookmarkEnd w:id="168"/>
      <w:bookmarkEnd w:id="169"/>
      <w:bookmarkEnd w:id="17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5"/>
        <w:tabs>
          <w:tab w:val="right" w:leader="dot" w:pos="9061"/>
        </w:tabs>
        <w:spacing w:before="312" w:beforeLines="100"/>
        <w:rPr>
          <w:rFonts w:ascii="黑体" w:hAnsi="黑体" w:eastAsia="黑体" w:cstheme="minorEastAsia"/>
          <w:b w:val="0"/>
          <w:sz w:val="28"/>
          <w:szCs w:val="28"/>
        </w:rPr>
      </w:pPr>
      <w:bookmarkStart w:id="171" w:name="_Toc23011"/>
      <w:bookmarkStart w:id="172" w:name="_Toc9915"/>
      <w:bookmarkStart w:id="173" w:name="_Toc16330032"/>
      <w:bookmarkStart w:id="174" w:name="_Toc11290"/>
      <w:bookmarkStart w:id="175" w:name="_Toc12984"/>
      <w:r>
        <w:rPr>
          <w:rFonts w:hint="eastAsia" w:ascii="黑体" w:hAnsi="黑体" w:eastAsia="黑体" w:cstheme="minorEastAsia"/>
          <w:b w:val="0"/>
          <w:sz w:val="28"/>
          <w:szCs w:val="28"/>
        </w:rPr>
        <w:t>15 适用法律及争议解决</w:t>
      </w:r>
      <w:bookmarkEnd w:id="171"/>
      <w:bookmarkEnd w:id="172"/>
      <w:bookmarkEnd w:id="173"/>
      <w:bookmarkEnd w:id="174"/>
      <w:bookmarkEnd w:id="17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76" w:name="_Toc23906"/>
      <w:bookmarkStart w:id="177" w:name="_Toc18207"/>
      <w:bookmarkStart w:id="178" w:name="_Toc5747"/>
      <w:bookmarkStart w:id="179" w:name="_Toc16330033"/>
      <w:bookmarkStart w:id="180" w:name="_Toc23765"/>
      <w:r>
        <w:rPr>
          <w:rFonts w:hint="eastAsia" w:ascii="黑体" w:hAnsi="黑体" w:eastAsia="黑体" w:cstheme="minorEastAsia"/>
          <w:b w:val="0"/>
          <w:sz w:val="28"/>
          <w:szCs w:val="28"/>
        </w:rPr>
        <w:t>16 附件</w:t>
      </w:r>
      <w:bookmarkEnd w:id="176"/>
      <w:bookmarkEnd w:id="177"/>
      <w:bookmarkEnd w:id="178"/>
      <w:bookmarkEnd w:id="179"/>
      <w:bookmarkEnd w:id="18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81" w:name="_Toc9594"/>
      <w:bookmarkStart w:id="182" w:name="_Toc16330034"/>
      <w:bookmarkStart w:id="183" w:name="_Toc17656"/>
      <w:bookmarkStart w:id="184" w:name="_Toc27202"/>
      <w:bookmarkStart w:id="185" w:name="_Toc31331"/>
      <w:r>
        <w:rPr>
          <w:rFonts w:hint="eastAsia" w:ascii="黑体" w:hAnsi="黑体" w:eastAsia="黑体" w:cstheme="minorEastAsia"/>
          <w:b w:val="0"/>
          <w:sz w:val="28"/>
          <w:szCs w:val="28"/>
        </w:rPr>
        <w:t>17 其他规定</w:t>
      </w:r>
      <w:bookmarkEnd w:id="181"/>
      <w:bookmarkEnd w:id="182"/>
      <w:bookmarkEnd w:id="183"/>
      <w:bookmarkEnd w:id="184"/>
      <w:bookmarkEnd w:id="185"/>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86" w:name="_Toc19077"/>
      <w:bookmarkStart w:id="187" w:name="_Toc17952"/>
      <w:bookmarkStart w:id="188" w:name="_Toc16330035"/>
      <w:bookmarkStart w:id="189"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90" w:name="_Toc15340"/>
      <w:r>
        <w:rPr>
          <w:rFonts w:hint="eastAsia" w:ascii="黑体" w:hAnsi="黑体" w:eastAsia="黑体" w:cstheme="minorEastAsia"/>
          <w:b w:val="0"/>
          <w:sz w:val="28"/>
          <w:szCs w:val="28"/>
        </w:rPr>
        <w:t>18 签署事项</w:t>
      </w:r>
      <w:bookmarkEnd w:id="186"/>
      <w:bookmarkEnd w:id="187"/>
      <w:bookmarkEnd w:id="188"/>
      <w:bookmarkEnd w:id="189"/>
      <w:bookmarkEnd w:id="19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spacing w:line="360" w:lineRule="auto"/>
        <w:rPr>
          <w:rFonts w:ascii="仿宋_GB2312" w:eastAsia="仿宋_GB2312"/>
          <w:sz w:val="24"/>
          <w:szCs w:val="24"/>
        </w:rPr>
      </w:pPr>
    </w:p>
    <w:p>
      <w:pPr>
        <w:tabs>
          <w:tab w:val="right" w:leader="dot" w:pos="9061"/>
        </w:tabs>
        <w:rPr>
          <w:rFonts w:ascii="仿宋_GB2312" w:eastAsia="仿宋_GB2312"/>
          <w:sz w:val="24"/>
          <w:szCs w:val="24"/>
        </w:rPr>
      </w:pPr>
      <w:bookmarkStart w:id="191" w:name="_Toc16330036"/>
      <w:bookmarkStart w:id="192" w:name="_Toc28611"/>
      <w:bookmarkStart w:id="193" w:name="_Toc15689"/>
      <w:bookmarkStart w:id="194" w:name="_Toc10272"/>
    </w:p>
    <w:p>
      <w:pPr>
        <w:tabs>
          <w:tab w:val="right" w:leader="dot" w:pos="9061"/>
        </w:tabs>
        <w:rPr>
          <w:sz w:val="24"/>
          <w:szCs w:val="24"/>
        </w:rPr>
      </w:pPr>
    </w:p>
    <w:p>
      <w:pPr>
        <w:tabs>
          <w:tab w:val="right" w:leader="dot" w:pos="9061"/>
        </w:tabs>
        <w:rPr>
          <w:sz w:val="24"/>
          <w:szCs w:val="24"/>
        </w:rPr>
      </w:pPr>
    </w:p>
    <w:p>
      <w:pPr>
        <w:tabs>
          <w:tab w:val="right" w:leader="dot" w:pos="9061"/>
        </w:tabs>
        <w:rPr>
          <w:sz w:val="24"/>
          <w:szCs w:val="24"/>
        </w:rPr>
      </w:pPr>
    </w:p>
    <w:p>
      <w:pPr>
        <w:tabs>
          <w:tab w:val="right" w:leader="dot" w:pos="9061"/>
        </w:tabs>
        <w:rPr>
          <w:sz w:val="24"/>
          <w:szCs w:val="24"/>
        </w:rPr>
      </w:pPr>
    </w:p>
    <w:bookmarkEnd w:id="191"/>
    <w:bookmarkEnd w:id="192"/>
    <w:bookmarkEnd w:id="193"/>
    <w:bookmarkEnd w:id="194"/>
    <w:p>
      <w:pPr>
        <w:rPr>
          <w:sz w:val="24"/>
          <w:szCs w:val="24"/>
        </w:rPr>
      </w:pPr>
    </w:p>
    <w:p>
      <w:pPr>
        <w:pStyle w:val="5"/>
        <w:tabs>
          <w:tab w:val="right" w:leader="dot" w:pos="9061"/>
        </w:tabs>
        <w:ind w:firstLine="280" w:firstLineChars="100"/>
        <w:rPr>
          <w:rFonts w:ascii="黑体" w:hAnsi="黑体" w:eastAsia="黑体" w:cstheme="minorEastAsia"/>
          <w:b w:val="0"/>
          <w:sz w:val="28"/>
          <w:szCs w:val="28"/>
        </w:rPr>
      </w:pPr>
      <w:bookmarkStart w:id="195" w:name="_Toc14581"/>
      <w:r>
        <w:rPr>
          <w:rFonts w:hint="eastAsia" w:ascii="黑体" w:hAnsi="黑体" w:eastAsia="黑体" w:cstheme="minorEastAsia"/>
          <w:b w:val="0"/>
          <w:sz w:val="28"/>
          <w:szCs w:val="28"/>
        </w:rPr>
        <w:t>附件一：设备清单明细表</w:t>
      </w:r>
      <w:bookmarkEnd w:id="195"/>
    </w:p>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29"/>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9"/>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9"/>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9"/>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tabs>
          <w:tab w:val="right" w:leader="dot" w:pos="9061"/>
        </w:tabs>
        <w:rPr>
          <w:rFonts w:asciiTheme="minorEastAsia" w:hAnsiTheme="minorEastAsia" w:cstheme="minorEastAsia"/>
          <w:sz w:val="20"/>
        </w:rPr>
      </w:pPr>
      <w:bookmarkStart w:id="196" w:name="_Toc5379"/>
      <w:bookmarkStart w:id="197" w:name="_Toc16330037"/>
      <w:bookmarkStart w:id="198" w:name="_Toc24623"/>
      <w:bookmarkStart w:id="199" w:name="_Toc25120"/>
      <w:bookmarkStart w:id="200" w:name="_Toc3778"/>
    </w:p>
    <w:p>
      <w:pPr>
        <w:rPr>
          <w:rFonts w:hint="eastAsia" w:ascii="黑体" w:hAnsi="黑体" w:eastAsia="黑体" w:cstheme="minorEastAsia"/>
          <w:sz w:val="28"/>
          <w:szCs w:val="28"/>
        </w:rPr>
      </w:pPr>
      <w:bookmarkStart w:id="201" w:name="_Toc8175"/>
    </w:p>
    <w:p>
      <w:pPr>
        <w:rPr>
          <w:rFonts w:hint="eastAsia" w:ascii="黑体" w:hAnsi="黑体" w:eastAsia="黑体" w:cstheme="minorEastAsia"/>
          <w:sz w:val="28"/>
          <w:szCs w:val="28"/>
        </w:rPr>
      </w:pPr>
    </w:p>
    <w:p>
      <w:pPr>
        <w:rPr>
          <w:rFonts w:hint="eastAsia" w:ascii="黑体" w:hAnsi="黑体" w:eastAsia="黑体" w:cstheme="minorEastAsia"/>
          <w:sz w:val="28"/>
          <w:szCs w:val="28"/>
        </w:rPr>
      </w:pPr>
    </w:p>
    <w:p>
      <w:pPr>
        <w:rPr>
          <w:rFonts w:hint="eastAsia" w:ascii="黑体" w:hAnsi="黑体" w:eastAsia="黑体" w:cstheme="minorEastAsia"/>
          <w:sz w:val="28"/>
          <w:szCs w:val="28"/>
        </w:rPr>
      </w:pPr>
    </w:p>
    <w:p>
      <w:pPr>
        <w:rPr>
          <w:rFonts w:hint="eastAsia" w:ascii="黑体" w:hAnsi="黑体" w:eastAsia="黑体" w:cstheme="minorEastAsia"/>
          <w:sz w:val="28"/>
          <w:szCs w:val="28"/>
        </w:rPr>
      </w:pPr>
    </w:p>
    <w:p>
      <w:pPr>
        <w:rPr>
          <w:rFonts w:hint="eastAsia" w:ascii="黑体" w:hAnsi="黑体" w:eastAsia="黑体" w:cstheme="minorEastAsia"/>
          <w:sz w:val="28"/>
          <w:szCs w:val="28"/>
        </w:rPr>
      </w:pPr>
    </w:p>
    <w:p>
      <w:pPr>
        <w:rPr>
          <w:rFonts w:hint="eastAsia" w:ascii="黑体" w:hAnsi="黑体" w:eastAsia="黑体" w:cstheme="minorEastAsia"/>
          <w:sz w:val="28"/>
          <w:szCs w:val="28"/>
        </w:rPr>
      </w:pPr>
    </w:p>
    <w:p>
      <w:pPr>
        <w:rPr>
          <w:rFonts w:hint="eastAsia" w:ascii="黑体" w:hAnsi="黑体" w:eastAsia="黑体" w:cstheme="minorEastAsia"/>
          <w:sz w:val="28"/>
          <w:szCs w:val="28"/>
        </w:rPr>
      </w:pPr>
    </w:p>
    <w:p>
      <w:pPr>
        <w:rPr>
          <w:rFonts w:hint="eastAsia" w:ascii="黑体" w:hAnsi="黑体" w:eastAsia="黑体" w:cstheme="minorEastAsia"/>
          <w:sz w:val="28"/>
          <w:szCs w:val="28"/>
        </w:rPr>
      </w:pPr>
    </w:p>
    <w:p>
      <w:pPr>
        <w:rPr>
          <w:rFonts w:hint="eastAsia" w:ascii="黑体" w:hAnsi="黑体" w:eastAsia="黑体" w:cstheme="minorEastAsia"/>
          <w:sz w:val="28"/>
          <w:szCs w:val="28"/>
        </w:rPr>
      </w:pPr>
    </w:p>
    <w:p>
      <w:r>
        <w:rPr>
          <w:rFonts w:hint="eastAsia" w:ascii="黑体" w:hAnsi="黑体" w:eastAsia="黑体" w:cstheme="minorEastAsia"/>
          <w:sz w:val="28"/>
          <w:szCs w:val="28"/>
        </w:rPr>
        <w:t xml:space="preserve">附件二 </w:t>
      </w:r>
      <w:bookmarkEnd w:id="196"/>
      <w:bookmarkEnd w:id="197"/>
      <w:bookmarkEnd w:id="198"/>
      <w:bookmarkEnd w:id="199"/>
      <w:bookmarkEnd w:id="200"/>
      <w:r>
        <w:rPr>
          <w:rFonts w:hint="eastAsia" w:ascii="黑体" w:hAnsi="黑体" w:eastAsia="黑体" w:cstheme="minorEastAsia"/>
          <w:sz w:val="28"/>
          <w:szCs w:val="28"/>
        </w:rPr>
        <w:t>技术协议书</w:t>
      </w:r>
      <w:bookmarkEnd w:id="201"/>
    </w:p>
    <w:p>
      <w:pPr>
        <w:widowControl/>
        <w:adjustRightInd w:val="0"/>
        <w:snapToGrid w:val="0"/>
        <w:spacing w:line="360" w:lineRule="auto"/>
        <w:jc w:val="left"/>
        <w:rPr>
          <w:rFonts w:hint="eastAsia" w:ascii="黑体" w:hAnsi="黑体" w:eastAsia="黑体" w:cstheme="minorEastAsia"/>
          <w:sz w:val="28"/>
          <w:szCs w:val="28"/>
          <w:lang w:val="en-US" w:eastAsia="zh-Hans"/>
        </w:rPr>
      </w:pPr>
      <w:r>
        <w:rPr>
          <w:rFonts w:hint="eastAsia" w:ascii="黑体" w:hAnsi="黑体" w:eastAsia="黑体" w:cstheme="minorEastAsia"/>
          <w:sz w:val="28"/>
          <w:szCs w:val="28"/>
        </w:rPr>
        <w:t>作为附件另附</w:t>
      </w:r>
    </w:p>
    <w:p>
      <w:pPr>
        <w:sectPr>
          <w:footerReference r:id="rId18" w:type="first"/>
          <w:headerReference r:id="rId16" w:type="default"/>
          <w:footerReference r:id="rId17"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202" w:name="_Toc2969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202"/>
    </w:p>
    <w:p>
      <w:pPr>
        <w:rPr>
          <w:rFonts w:ascii="Times New Roman" w:hAnsi="Times New Roman" w:eastAsia="宋体" w:cs="Times New Roman"/>
          <w:b/>
          <w:bCs/>
          <w:color w:val="000000"/>
          <w:sz w:val="24"/>
          <w:szCs w:val="24"/>
        </w:rPr>
      </w:pPr>
    </w:p>
    <w:p>
      <w:pPr>
        <w:rPr>
          <w:rFonts w:ascii="Times New Roman" w:hAnsi="Times New Roman" w:eastAsia="宋体" w:cs="Times New Roman"/>
          <w:b/>
          <w:bCs/>
          <w:color w:val="000000"/>
          <w:sz w:val="24"/>
          <w:szCs w:val="24"/>
        </w:rPr>
      </w:pP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pPr>
      <w:r>
        <w:rPr>
          <w:rFonts w:hint="eastAsia" w:ascii="宋体" w:hAnsi="宋体" w:eastAsia="宋体" w:cs="宋体"/>
          <w:sz w:val="24"/>
          <w:szCs w:val="24"/>
        </w:rPr>
        <w:t>5、所有附件文件应以中文书写，作为投标文件的组成部分。</w:t>
      </w:r>
    </w:p>
    <w:p>
      <w:pPr>
        <w:bidi w:val="0"/>
      </w:pPr>
    </w:p>
    <w:p>
      <w:pPr>
        <w:bidi w:val="0"/>
      </w:pPr>
    </w:p>
    <w:p>
      <w:pPr>
        <w:rPr>
          <w:rFonts w:ascii="Times New Roman" w:hAnsi="Times New Roman" w:eastAsia="宋体" w:cs="Times New Roman"/>
          <w:b/>
          <w:bCs/>
          <w:color w:val="000000"/>
          <w:sz w:val="24"/>
          <w:szCs w:val="24"/>
        </w:rPr>
      </w:pPr>
    </w:p>
    <w:p>
      <w:pPr>
        <w:rPr>
          <w:rFonts w:ascii="Times New Roman" w:hAnsi="Times New Roman" w:eastAsia="宋体" w:cs="Times New Roman"/>
          <w:b/>
          <w:bCs/>
          <w:color w:val="000000"/>
          <w:sz w:val="24"/>
          <w:szCs w:val="24"/>
        </w:rPr>
      </w:pPr>
    </w:p>
    <w:p>
      <w:pPr>
        <w:rPr>
          <w:rFonts w:ascii="Times New Roman" w:hAnsi="Times New Roman" w:eastAsia="宋体" w:cs="Times New Roman"/>
          <w:b/>
          <w:bCs/>
          <w:color w:val="000000"/>
          <w:sz w:val="24"/>
          <w:szCs w:val="24"/>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203" w:name="_Toc639004"/>
      <w:bookmarkStart w:id="204" w:name="_Toc353881012"/>
      <w:bookmarkStart w:id="205" w:name="_Toc25811"/>
      <w:bookmarkStart w:id="206"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203"/>
      <w:bookmarkEnd w:id="204"/>
      <w:bookmarkEnd w:id="205"/>
      <w:bookmarkEnd w:id="206"/>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r>
        <w:rPr>
          <w:rFonts w:hint="eastAsia" w:ascii="宋体" w:hAnsi="宋体" w:eastAsia="宋体" w:cs="Times New Roman"/>
          <w:bCs/>
          <w:snapToGrid w:val="0"/>
          <w:color w:val="000000"/>
          <w:kern w:val="0"/>
          <w:sz w:val="24"/>
          <w:szCs w:val="24"/>
        </w:rPr>
        <w:t>招标公告</w:t>
      </w:r>
      <w:r>
        <w:rPr>
          <w:rFonts w:ascii="宋体" w:hAnsi="宋体" w:eastAsia="宋体" w:cs="Times New Roman"/>
          <w:b/>
          <w:bCs/>
          <w:snapToGrid w:val="0"/>
          <w:color w:val="000000"/>
          <w:kern w:val="0"/>
          <w:sz w:val="24"/>
          <w:szCs w:val="24"/>
          <w:u w:val="single"/>
        </w:rPr>
        <w:t xml:space="preserve">              </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份、副本</w:t>
      </w:r>
      <w:r>
        <w:rPr>
          <w:rFonts w:hint="eastAsia" w:ascii="宋体" w:hAnsi="宋体" w:eastAsia="宋体" w:cs="Times New Roman"/>
          <w:color w:val="000000"/>
          <w:sz w:val="24"/>
          <w:szCs w:val="24"/>
          <w:highlight w:val="yellow"/>
        </w:rPr>
        <w:t>两</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pStyle w:val="20"/>
        <w:rPr>
          <w:rFonts w:ascii="黑体" w:hAnsi="Calibri" w:eastAsia="黑体" w:cs="Times New Roman"/>
          <w:color w:val="000000"/>
          <w:sz w:val="24"/>
          <w:szCs w:val="24"/>
        </w:rPr>
      </w:pPr>
    </w:p>
    <w:p>
      <w:pPr>
        <w:rPr>
          <w:rFonts w:ascii="黑体" w:hAnsi="Calibri" w:eastAsia="黑体" w:cs="Times New Roman"/>
          <w:color w:val="000000"/>
          <w:sz w:val="24"/>
          <w:szCs w:val="24"/>
        </w:rPr>
      </w:pPr>
      <w:r>
        <w:rPr>
          <w:rFonts w:ascii="黑体" w:hAnsi="Calibri" w:eastAsia="黑体" w:cs="Times New Roman"/>
          <w:color w:val="000000"/>
          <w:sz w:val="24"/>
          <w:szCs w:val="24"/>
        </w:rPr>
        <w:br w:type="page"/>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r>
        <w:rPr>
          <w:rFonts w:hint="eastAsia" w:ascii="宋体" w:hAnsi="宋体" w:eastAsia="宋体" w:cs="Times New Roman"/>
          <w:b/>
          <w:bCs/>
          <w:color w:val="000000"/>
          <w:sz w:val="24"/>
          <w:szCs w:val="24"/>
          <w:u w:val="single"/>
          <w:lang w:eastAsia="zh-CN"/>
        </w:rPr>
        <w:t>（CGZX2025090129）</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0"/>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rPr>
        <w:t>3-</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3"/>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3"/>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3"/>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3"/>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133"/>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3"/>
              <w:spacing w:before="111"/>
              <w:ind w:left="509"/>
              <w:rPr>
                <w:highlight w:val="yellow"/>
              </w:rPr>
            </w:pPr>
            <w:r>
              <w:t xml:space="preserve">企业法人代表  </w:t>
            </w:r>
          </w:p>
        </w:tc>
        <w:tc>
          <w:tcPr>
            <w:tcW w:w="4680" w:type="dxa"/>
            <w:gridSpan w:val="4"/>
          </w:tcPr>
          <w:p>
            <w:pPr>
              <w:pStyle w:val="6"/>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133"/>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3"/>
              <w:spacing w:before="114"/>
              <w:ind w:left="720"/>
            </w:pPr>
            <w:r>
              <w:t xml:space="preserve">品牌区分 </w:t>
            </w:r>
          </w:p>
        </w:tc>
        <w:tc>
          <w:tcPr>
            <w:tcW w:w="7500" w:type="dxa"/>
            <w:gridSpan w:val="6"/>
          </w:tcPr>
          <w:p>
            <w:pPr>
              <w:pStyle w:val="133"/>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3"/>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133"/>
              <w:spacing w:before="15"/>
              <w:ind w:left="279"/>
            </w:pPr>
            <w:r>
              <w:rPr>
                <w:spacing w:val="-2"/>
              </w:rPr>
              <w:t>质量</w:t>
            </w:r>
            <w:r>
              <w:t xml:space="preserve"> </w:t>
            </w:r>
          </w:p>
          <w:p>
            <w:pPr>
              <w:pStyle w:val="133"/>
              <w:spacing w:before="30" w:line="277" w:lineRule="exact"/>
              <w:ind w:left="279"/>
            </w:pPr>
            <w:r>
              <w:rPr>
                <w:rFonts w:hint="eastAsia"/>
              </w:rPr>
              <w:t>体系</w:t>
            </w:r>
          </w:p>
        </w:tc>
        <w:tc>
          <w:tcPr>
            <w:tcW w:w="2820" w:type="dxa"/>
            <w:gridSpan w:val="2"/>
          </w:tcPr>
          <w:p>
            <w:pPr>
              <w:pStyle w:val="133"/>
              <w:spacing w:before="158"/>
              <w:jc w:val="center"/>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3"/>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rPr>
          <w:rFonts w:ascii="Times New Roman" w:hAnsi="Times New Roman" w:eastAsia="宋体" w:cs="Times New Roman"/>
          <w:b/>
          <w:bCs/>
          <w:color w:val="000000"/>
          <w:sz w:val="24"/>
          <w:szCs w:val="24"/>
        </w:rPr>
      </w:pPr>
    </w:p>
    <w:p>
      <w:pPr>
        <w:pStyle w:val="20"/>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3-</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0"/>
        <w:rPr>
          <w:rFonts w:ascii="Times New Roman" w:hAnsi="Times New Roman" w:eastAsia="宋体" w:cs="Times New Roman"/>
          <w:b/>
          <w:bCs/>
          <w:color w:val="000000"/>
          <w:sz w:val="24"/>
          <w:szCs w:val="24"/>
        </w:rPr>
      </w:pPr>
    </w:p>
    <w:tbl>
      <w:tblPr>
        <w:tblStyle w:val="39"/>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9"/>
        <w:gridCol w:w="2077"/>
        <w:gridCol w:w="1650"/>
        <w:gridCol w:w="1590"/>
        <w:gridCol w:w="14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5"/>
            <w:vAlign w:val="center"/>
          </w:tcPr>
          <w:p>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6767" w:type="dxa"/>
            <w:gridSpan w:val="4"/>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6767" w:type="dxa"/>
            <w:gridSpan w:val="4"/>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2077"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2019年</w:t>
            </w:r>
          </w:p>
        </w:tc>
        <w:tc>
          <w:tcPr>
            <w:tcW w:w="165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2020年</w:t>
            </w:r>
          </w:p>
        </w:tc>
        <w:tc>
          <w:tcPr>
            <w:tcW w:w="159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450" w:type="dxa"/>
            <w:vAlign w:val="center"/>
          </w:tcPr>
          <w:p>
            <w:pPr>
              <w:spacing w:line="440" w:lineRule="exact"/>
              <w:jc w:val="center"/>
              <w:rPr>
                <w:rFonts w:ascii="宋体" w:hAnsi="宋体" w:eastAsia="宋体"/>
                <w:color w:val="000000"/>
                <w:sz w:val="24"/>
                <w:szCs w:val="24"/>
              </w:rPr>
            </w:pPr>
            <w:r>
              <w:rPr>
                <w:rFonts w:hint="eastAsia" w:ascii="宋体" w:hAnsi="宋体" w:eastAsia="宋体"/>
                <w:color w:val="000000"/>
                <w:sz w:val="24"/>
                <w:szCs w:val="24"/>
              </w:rPr>
              <w:t>2022年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2077" w:type="dxa"/>
          </w:tcPr>
          <w:p>
            <w:pPr>
              <w:spacing w:line="440" w:lineRule="exact"/>
              <w:jc w:val="center"/>
              <w:rPr>
                <w:rFonts w:ascii="宋体" w:hAnsi="宋体"/>
                <w:color w:val="000000"/>
                <w:sz w:val="24"/>
                <w:szCs w:val="24"/>
                <w:highlight w:val="yellow"/>
              </w:rPr>
            </w:pPr>
          </w:p>
        </w:tc>
        <w:tc>
          <w:tcPr>
            <w:tcW w:w="1650" w:type="dxa"/>
          </w:tcPr>
          <w:p>
            <w:pPr>
              <w:spacing w:line="440" w:lineRule="exact"/>
              <w:jc w:val="center"/>
              <w:rPr>
                <w:rFonts w:ascii="宋体" w:hAnsi="宋体"/>
                <w:color w:val="000000"/>
                <w:sz w:val="24"/>
                <w:szCs w:val="24"/>
                <w:highlight w:val="yellow"/>
              </w:rPr>
            </w:pPr>
          </w:p>
        </w:tc>
        <w:tc>
          <w:tcPr>
            <w:tcW w:w="1590" w:type="dxa"/>
          </w:tcPr>
          <w:p>
            <w:pPr>
              <w:spacing w:line="440" w:lineRule="exact"/>
              <w:jc w:val="center"/>
              <w:rPr>
                <w:rFonts w:ascii="宋体" w:hAnsi="宋体"/>
                <w:color w:val="000000"/>
                <w:sz w:val="24"/>
                <w:szCs w:val="24"/>
                <w:highlight w:val="yellow"/>
              </w:rPr>
            </w:pPr>
          </w:p>
        </w:tc>
        <w:tc>
          <w:tcPr>
            <w:tcW w:w="1450"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2077" w:type="dxa"/>
          </w:tcPr>
          <w:p>
            <w:pPr>
              <w:spacing w:line="440" w:lineRule="exact"/>
              <w:jc w:val="center"/>
              <w:rPr>
                <w:rFonts w:ascii="宋体" w:hAnsi="宋体"/>
                <w:color w:val="000000"/>
                <w:sz w:val="24"/>
                <w:szCs w:val="24"/>
                <w:highlight w:val="yellow"/>
              </w:rPr>
            </w:pPr>
          </w:p>
        </w:tc>
        <w:tc>
          <w:tcPr>
            <w:tcW w:w="1650" w:type="dxa"/>
          </w:tcPr>
          <w:p>
            <w:pPr>
              <w:spacing w:line="440" w:lineRule="exact"/>
              <w:jc w:val="center"/>
              <w:rPr>
                <w:rFonts w:ascii="宋体" w:hAnsi="宋体"/>
                <w:color w:val="000000"/>
                <w:sz w:val="24"/>
                <w:szCs w:val="24"/>
                <w:highlight w:val="yellow"/>
              </w:rPr>
            </w:pPr>
          </w:p>
        </w:tc>
        <w:tc>
          <w:tcPr>
            <w:tcW w:w="1590" w:type="dxa"/>
          </w:tcPr>
          <w:p>
            <w:pPr>
              <w:spacing w:line="440" w:lineRule="exact"/>
              <w:jc w:val="center"/>
              <w:rPr>
                <w:rFonts w:ascii="宋体" w:hAnsi="宋体"/>
                <w:color w:val="000000"/>
                <w:sz w:val="24"/>
                <w:szCs w:val="24"/>
                <w:highlight w:val="yellow"/>
              </w:rPr>
            </w:pPr>
          </w:p>
        </w:tc>
        <w:tc>
          <w:tcPr>
            <w:tcW w:w="1450"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2077" w:type="dxa"/>
          </w:tcPr>
          <w:p>
            <w:pPr>
              <w:spacing w:line="440" w:lineRule="exact"/>
              <w:jc w:val="center"/>
              <w:rPr>
                <w:rFonts w:ascii="宋体" w:hAnsi="宋体"/>
                <w:color w:val="000000"/>
                <w:sz w:val="24"/>
                <w:szCs w:val="24"/>
                <w:highlight w:val="yellow"/>
              </w:rPr>
            </w:pPr>
          </w:p>
        </w:tc>
        <w:tc>
          <w:tcPr>
            <w:tcW w:w="1650" w:type="dxa"/>
          </w:tcPr>
          <w:p>
            <w:pPr>
              <w:spacing w:line="440" w:lineRule="exact"/>
              <w:jc w:val="center"/>
              <w:rPr>
                <w:rFonts w:ascii="宋体" w:hAnsi="宋体"/>
                <w:color w:val="000000"/>
                <w:sz w:val="24"/>
                <w:szCs w:val="24"/>
                <w:highlight w:val="yellow"/>
              </w:rPr>
            </w:pPr>
          </w:p>
        </w:tc>
        <w:tc>
          <w:tcPr>
            <w:tcW w:w="1590" w:type="dxa"/>
          </w:tcPr>
          <w:p>
            <w:pPr>
              <w:spacing w:line="440" w:lineRule="exact"/>
              <w:jc w:val="center"/>
              <w:rPr>
                <w:rFonts w:ascii="宋体" w:hAnsi="宋体"/>
                <w:color w:val="000000"/>
                <w:sz w:val="24"/>
                <w:szCs w:val="24"/>
                <w:highlight w:val="yellow"/>
              </w:rPr>
            </w:pPr>
          </w:p>
        </w:tc>
        <w:tc>
          <w:tcPr>
            <w:tcW w:w="1450"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2" w:type="first"/>
          <w:footerReference r:id="rId2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4" w:type="first"/>
          <w:footerReference r:id="rId2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26" w:type="first"/>
          <w:footerReference r:id="rId25"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近三年同类项目业绩一览表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提供近三年同类产品的制造销售业绩（用户名单、联系方式）</w:t>
      </w:r>
      <w:r>
        <w:rPr>
          <w:rFonts w:hint="eastAsia" w:ascii="宋体" w:hAnsi="宋体" w:eastAsia="宋体" w:cs="Times New Roman"/>
          <w:sz w:val="24"/>
          <w:szCs w:val="20"/>
        </w:rPr>
        <w:t>，并附合同复印件。</w:t>
      </w:r>
    </w:p>
    <w:p>
      <w:pPr>
        <w:tabs>
          <w:tab w:val="left" w:pos="1578"/>
          <w:tab w:val="left" w:pos="10083"/>
        </w:tabs>
        <w:spacing w:line="500" w:lineRule="exact"/>
        <w:rPr>
          <w:rFonts w:ascii="宋体" w:hAnsi="Calibri"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Times New Roman"/>
          <w:b/>
          <w:bCs/>
          <w:color w:val="000000"/>
          <w:sz w:val="24"/>
          <w:szCs w:val="24"/>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投标单位名称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8" w:type="first"/>
          <w:footerReference r:id="rId2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r>
        <w:rPr>
          <w:rFonts w:ascii="宋体" w:hAnsi="宋体" w:eastAsia="宋体" w:cs="Times New Roman"/>
          <w:color w:val="000000"/>
          <w:sz w:val="24"/>
          <w:szCs w:val="24"/>
        </w:rPr>
        <w:t xml:space="preserve">                                                        </w:t>
      </w:r>
    </w:p>
    <w:tbl>
      <w:tblPr>
        <w:tblStyle w:val="39"/>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461"/>
        <w:gridCol w:w="780"/>
        <w:gridCol w:w="1580"/>
        <w:gridCol w:w="990"/>
        <w:gridCol w:w="1375"/>
        <w:gridCol w:w="1065"/>
        <w:gridCol w:w="1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461"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78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158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99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37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06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1132"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461" w:type="dxa"/>
            <w:vAlign w:val="center"/>
          </w:tcPr>
          <w:p>
            <w:pPr>
              <w:jc w:val="center"/>
              <w:rPr>
                <w:rFonts w:ascii="Times New Roman" w:hAnsi="Times New Roman" w:eastAsia="宋体" w:cs="Times New Roman"/>
                <w:b/>
                <w:szCs w:val="21"/>
              </w:rPr>
            </w:pPr>
            <w:r>
              <w:rPr>
                <w:rFonts w:hint="eastAsia" w:ascii="宋体" w:hAnsi="宋体" w:eastAsia="宋体" w:cs="Times New Roman"/>
                <w:b/>
                <w:bCs/>
                <w:color w:val="000000"/>
                <w:szCs w:val="21"/>
                <w:u w:val="single"/>
                <w:lang w:val="en-US" w:eastAsia="zh-CN"/>
              </w:rPr>
              <w:t>桌面HIL台架</w:t>
            </w:r>
            <w:r>
              <w:rPr>
                <w:rFonts w:ascii="宋体" w:hAnsi="宋体" w:eastAsia="宋体" w:cs="Times New Roman"/>
                <w:color w:val="000000"/>
                <w:szCs w:val="21"/>
              </w:rPr>
              <w:t xml:space="preserve"> </w:t>
            </w:r>
          </w:p>
        </w:tc>
        <w:tc>
          <w:tcPr>
            <w:tcW w:w="78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lang w:val="en-US" w:eastAsia="zh-CN"/>
              </w:rPr>
              <w:t>6</w:t>
            </w:r>
            <w:r>
              <w:rPr>
                <w:rFonts w:hint="eastAsia" w:ascii="Times New Roman" w:hAnsi="Times New Roman" w:eastAsia="宋体" w:cs="Times New Roman"/>
                <w:b/>
                <w:szCs w:val="20"/>
              </w:rPr>
              <w:t>套</w:t>
            </w:r>
          </w:p>
        </w:tc>
        <w:tc>
          <w:tcPr>
            <w:tcW w:w="1580" w:type="dxa"/>
            <w:vAlign w:val="center"/>
          </w:tcPr>
          <w:p>
            <w:pPr>
              <w:jc w:val="center"/>
              <w:rPr>
                <w:rFonts w:ascii="等线" w:hAnsi="等线" w:eastAsia="等线" w:cs="Times New Roman"/>
                <w:b/>
                <w:szCs w:val="20"/>
              </w:rPr>
            </w:pPr>
            <w:r>
              <w:rPr>
                <w:rFonts w:hint="eastAsia" w:ascii="等线" w:hAnsi="等线" w:eastAsia="等线" w:cs="Times New Roman"/>
                <w:b/>
                <w:szCs w:val="20"/>
              </w:rPr>
              <w:t>不含税价：</w:t>
            </w:r>
          </w:p>
          <w:p>
            <w:pPr>
              <w:jc w:val="center"/>
              <w:rPr>
                <w:rFonts w:ascii="等线" w:hAnsi="等线" w:eastAsia="等线" w:cs="Times New Roman"/>
                <w:b/>
                <w:szCs w:val="20"/>
              </w:rPr>
            </w:pPr>
            <w:r>
              <w:rPr>
                <w:rFonts w:hint="eastAsia" w:ascii="等线" w:hAnsi="等线" w:eastAsia="等线" w:cs="Times New Roman"/>
                <w:b/>
                <w:szCs w:val="20"/>
              </w:rPr>
              <w:t>含税价格：</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990" w:type="dxa"/>
            <w:vAlign w:val="center"/>
          </w:tcPr>
          <w:p>
            <w:pPr>
              <w:jc w:val="center"/>
              <w:rPr>
                <w:rFonts w:ascii="Times New Roman" w:hAnsi="Times New Roman" w:eastAsia="宋体" w:cs="Times New Roman"/>
                <w:b/>
                <w:szCs w:val="20"/>
              </w:rPr>
            </w:pPr>
          </w:p>
        </w:tc>
        <w:tc>
          <w:tcPr>
            <w:tcW w:w="1375" w:type="dxa"/>
            <w:vAlign w:val="center"/>
          </w:tcPr>
          <w:p>
            <w:pPr>
              <w:jc w:val="center"/>
              <w:rPr>
                <w:rFonts w:ascii="Times New Roman" w:hAnsi="Times New Roman" w:eastAsia="宋体" w:cs="Times New Roman"/>
                <w:b/>
                <w:szCs w:val="20"/>
              </w:rPr>
            </w:pPr>
          </w:p>
        </w:tc>
        <w:tc>
          <w:tcPr>
            <w:tcW w:w="1065" w:type="dxa"/>
            <w:vAlign w:val="center"/>
          </w:tcPr>
          <w:p>
            <w:pPr>
              <w:jc w:val="center"/>
              <w:rPr>
                <w:rFonts w:ascii="Times New Roman" w:hAnsi="Times New Roman" w:eastAsia="宋体" w:cs="Times New Roman"/>
                <w:b/>
                <w:szCs w:val="20"/>
              </w:rPr>
            </w:pPr>
          </w:p>
        </w:tc>
        <w:tc>
          <w:tcPr>
            <w:tcW w:w="1132"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20"/>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0"/>
        <w:sectPr>
          <w:pgSz w:w="11906" w:h="16838"/>
          <w:pgMar w:top="1588" w:right="1418" w:bottom="1134" w:left="1418" w:header="851" w:footer="992" w:gutter="0"/>
          <w:cols w:space="720" w:num="1"/>
          <w:titlePg/>
          <w:docGrid w:type="lines" w:linePitch="312" w:charSpace="0"/>
        </w:sectPr>
      </w:pPr>
    </w:p>
    <w:p>
      <w:pPr>
        <w:rPr>
          <w:rFonts w:ascii="宋体" w:hAnsi="宋体" w:cs="宋体"/>
          <w:color w:val="000000"/>
          <w:sz w:val="24"/>
          <w:szCs w:val="24"/>
        </w:rPr>
      </w:pPr>
    </w:p>
    <w:p>
      <w:pPr>
        <w:pStyle w:val="6"/>
        <w:spacing w:before="140" w:after="140"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r>
        <w:rPr>
          <w:rFonts w:ascii="宋体" w:hAnsi="宋体" w:cs="宋体"/>
          <w:spacing w:val="-9"/>
          <w:sz w:val="24"/>
          <w:szCs w:val="24"/>
          <w14:textOutline w14:w="4356" w14:cap="flat" w14:cmpd="sng" w14:algn="ctr">
            <w14:solidFill>
              <w14:srgbClr w14:val="000000"/>
            </w14:solidFill>
            <w14:prstDash w14:val="solid"/>
            <w14:miter w14:val="0"/>
          </w14:textOutline>
        </w:rPr>
        <w:t>表</w:t>
      </w:r>
      <w:r>
        <w:rPr>
          <w:rFonts w:ascii="宋体" w:hAnsi="宋体" w:cs="宋体"/>
          <w:spacing w:val="-7"/>
          <w:sz w:val="24"/>
          <w:szCs w:val="24"/>
        </w:rPr>
        <w:t xml:space="preserve"> </w:t>
      </w:r>
      <w:r>
        <w:rPr>
          <w:rFonts w:hint="eastAsia" w:ascii="宋体" w:hAnsi="宋体" w:cs="宋体"/>
          <w:spacing w:val="-7"/>
          <w:sz w:val="24"/>
          <w:szCs w:val="24"/>
          <w14:textOutline w14:w="4356" w14:cap="flat" w14:cmpd="sng" w14:algn="ctr">
            <w14:solidFill>
              <w14:srgbClr w14:val="000000"/>
            </w14:solidFill>
            <w14:prstDash w14:val="solid"/>
            <w14:miter w14:val="0"/>
          </w14:textOutline>
        </w:rPr>
        <w:t>9</w:t>
      </w:r>
      <w:r>
        <w:rPr>
          <w:rFonts w:ascii="宋体" w:hAnsi="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rPr>
          <w:rFonts w:ascii="宋体" w:hAnsi="宋体" w:eastAsia="宋体" w:cs="Times New Roman"/>
          <w:b/>
          <w:bCs/>
          <w:sz w:val="24"/>
          <w:szCs w:val="24"/>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  </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397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792"/>
        <w:gridCol w:w="1685"/>
        <w:gridCol w:w="1120"/>
        <w:gridCol w:w="2205"/>
        <w:gridCol w:w="2280"/>
        <w:gridCol w:w="2151"/>
        <w:gridCol w:w="106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792" w:type="dxa"/>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85"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05" w:type="dxa"/>
          </w:tcPr>
          <w:p>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280" w:type="dxa"/>
            <w:tcBorders>
              <w:right w:val="single" w:color="000000" w:sz="4" w:space="0"/>
            </w:tcBorders>
          </w:tcPr>
          <w:p>
            <w:pPr>
              <w:spacing w:before="99" w:line="183" w:lineRule="auto"/>
              <w:ind w:left="12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151" w:type="dxa"/>
            <w:tcBorders>
              <w:left w:val="single" w:color="000000" w:sz="4" w:space="0"/>
            </w:tcBorders>
          </w:tcPr>
          <w:p>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9" w:type="dxa"/>
          </w:tcPr>
          <w:p>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tcPr>
          <w:p>
            <w:pPr>
              <w:spacing w:before="221" w:line="222" w:lineRule="auto"/>
              <w:ind w:left="129"/>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序</w:t>
            </w:r>
            <w:r>
              <w:rPr>
                <w:rFonts w:ascii="宋体" w:hAnsi="宋体" w:eastAsia="宋体" w:cs="宋体"/>
                <w:spacing w:val="-1"/>
                <w:szCs w:val="21"/>
                <w14:textOutline w14:w="3835" w14:cap="flat" w14:cmpd="sng" w14:algn="ctr">
                  <w14:solidFill>
                    <w14:srgbClr w14:val="000000"/>
                  </w14:solidFill>
                  <w14:prstDash w14:val="solid"/>
                  <w14:miter w14:val="0"/>
                </w14:textOutline>
              </w:rPr>
              <w:t>号</w:t>
            </w:r>
          </w:p>
        </w:tc>
        <w:tc>
          <w:tcPr>
            <w:tcW w:w="2792" w:type="dxa"/>
          </w:tcPr>
          <w:p>
            <w:pPr>
              <w:spacing w:before="221" w:line="220" w:lineRule="auto"/>
              <w:ind w:left="707"/>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货物名</w:t>
            </w:r>
            <w:r>
              <w:rPr>
                <w:rFonts w:ascii="宋体" w:hAnsi="宋体" w:eastAsia="宋体" w:cs="宋体"/>
                <w:spacing w:val="-1"/>
                <w:szCs w:val="21"/>
                <w14:textOutline w14:w="3835" w14:cap="flat" w14:cmpd="sng" w14:algn="ctr">
                  <w14:solidFill>
                    <w14:srgbClr w14:val="000000"/>
                  </w14:solidFill>
                  <w14:prstDash w14:val="solid"/>
                  <w14:miter w14:val="0"/>
                </w14:textOutline>
              </w:rPr>
              <w:t>称</w:t>
            </w:r>
          </w:p>
        </w:tc>
        <w:tc>
          <w:tcPr>
            <w:tcW w:w="1685" w:type="dxa"/>
          </w:tcPr>
          <w:p>
            <w:pPr>
              <w:spacing w:before="221" w:line="221" w:lineRule="auto"/>
              <w:ind w:firstLine="206" w:firstLineChars="100"/>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120" w:type="dxa"/>
          </w:tcPr>
          <w:p>
            <w:pPr>
              <w:spacing w:before="221" w:line="221" w:lineRule="auto"/>
              <w:ind w:left="355"/>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数量</w:t>
            </w:r>
          </w:p>
        </w:tc>
        <w:tc>
          <w:tcPr>
            <w:tcW w:w="2205" w:type="dxa"/>
          </w:tcPr>
          <w:p>
            <w:pPr>
              <w:spacing w:before="59" w:line="254" w:lineRule="auto"/>
              <w:ind w:right="308"/>
              <w:jc w:val="center"/>
              <w:rPr>
                <w:rFonts w:ascii="宋体" w:hAnsi="宋体" w:eastAsia="宋体" w:cs="宋体"/>
                <w:szCs w:val="21"/>
              </w:rPr>
            </w:pP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 xml:space="preserve">  </w:t>
            </w:r>
            <w:r>
              <w:rPr>
                <w:rFonts w:ascii="宋体" w:hAnsi="宋体" w:eastAsia="宋体" w:cs="宋体"/>
                <w:spacing w:val="-3"/>
                <w:szCs w:val="21"/>
                <w14:textOutline w14:w="3835" w14:cap="flat" w14:cmpd="sng" w14:algn="ctr">
                  <w14:solidFill>
                    <w14:srgbClr w14:val="000000"/>
                  </w14:solidFill>
                  <w14:prstDash w14:val="solid"/>
                  <w14:miter w14:val="0"/>
                </w14:textOutline>
              </w:rPr>
              <w:t>原</w:t>
            </w:r>
            <w:r>
              <w:rPr>
                <w:rFonts w:ascii="宋体" w:hAnsi="宋体" w:eastAsia="宋体" w:cs="宋体"/>
                <w:spacing w:val="-2"/>
                <w:szCs w:val="21"/>
                <w14:textOutline w14:w="3835" w14:cap="flat" w14:cmpd="sng" w14:algn="ctr">
                  <w14:solidFill>
                    <w14:srgbClr w14:val="000000"/>
                  </w14:solidFill>
                  <w14:prstDash w14:val="solid"/>
                  <w14:miter w14:val="0"/>
                </w14:textOutline>
              </w:rPr>
              <w:t>产地和</w:t>
            </w:r>
            <w:r>
              <w:rPr>
                <w:rFonts w:ascii="宋体" w:hAnsi="宋体" w:eastAsia="宋体" w:cs="宋体"/>
                <w:spacing w:val="-1"/>
                <w:szCs w:val="21"/>
                <w14:textOutline w14:w="3835" w14:cap="flat" w14:cmpd="sng" w14:algn="ctr">
                  <w14:solidFill>
                    <w14:srgbClr w14:val="000000"/>
                  </w14:solidFill>
                  <w14:prstDash w14:val="solid"/>
                  <w14:miter w14:val="0"/>
                </w14:textOutline>
              </w:rPr>
              <w:t>制造商名</w:t>
            </w:r>
            <w:r>
              <w:rPr>
                <w:rFonts w:ascii="宋体" w:hAnsi="宋体" w:eastAsia="宋体" w:cs="宋体"/>
                <w:szCs w:val="21"/>
                <w14:textOutline w14:w="3835" w14:cap="flat" w14:cmpd="sng" w14:algn="ctr">
                  <w14:solidFill>
                    <w14:srgbClr w14:val="000000"/>
                  </w14:solidFill>
                  <w14:prstDash w14:val="solid"/>
                  <w14:miter w14:val="0"/>
                </w14:textOutline>
              </w:rPr>
              <w:t>称</w:t>
            </w:r>
          </w:p>
        </w:tc>
        <w:tc>
          <w:tcPr>
            <w:tcW w:w="2280" w:type="dxa"/>
            <w:tcBorders>
              <w:right w:val="single" w:color="000000" w:sz="4" w:space="0"/>
            </w:tcBorders>
          </w:tcPr>
          <w:p>
            <w:pPr>
              <w:spacing w:before="58" w:line="219" w:lineRule="auto"/>
              <w:jc w:val="center"/>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w:t>
            </w:r>
            <w:r>
              <w:rPr>
                <w:rFonts w:ascii="宋体" w:hAnsi="宋体" w:eastAsia="宋体" w:cs="宋体"/>
                <w:szCs w:val="21"/>
                <w14:textOutline w14:w="3835" w14:cap="flat" w14:cmpd="sng" w14:algn="ctr">
                  <w14:solidFill>
                    <w14:srgbClr w14:val="000000"/>
                  </w14:solidFill>
                  <w14:prstDash w14:val="solid"/>
                  <w14:miter w14:val="0"/>
                </w14:textOutline>
              </w:rPr>
              <w:t>价</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78" w:line="221" w:lineRule="auto"/>
              <w:ind w:firstLine="890" w:firstLineChars="500"/>
              <w:rPr>
                <w:rFonts w:ascii="宋体" w:hAnsi="宋体" w:eastAsia="宋体" w:cs="宋体"/>
                <w:szCs w:val="21"/>
              </w:rPr>
            </w:pPr>
            <w:r>
              <w:rPr>
                <w:rFonts w:ascii="宋体" w:hAnsi="宋体" w:eastAsia="宋体" w:cs="宋体"/>
                <w:spacing w:val="-16"/>
                <w:szCs w:val="21"/>
                <w14:textOutline w14:w="3835" w14:cap="flat" w14:cmpd="sng" w14:algn="ctr">
                  <w14:solidFill>
                    <w14:srgbClr w14:val="000000"/>
                  </w14:solidFill>
                  <w14:prstDash w14:val="solid"/>
                  <w14:miter w14:val="0"/>
                </w14:textOutline>
              </w:rPr>
              <w:t>(</w:t>
            </w:r>
            <w:r>
              <w:rPr>
                <w:rFonts w:ascii="宋体" w:hAnsi="宋体" w:eastAsia="宋体" w:cs="宋体"/>
                <w:spacing w:val="-14"/>
                <w:szCs w:val="21"/>
                <w14:textOutline w14:w="3835" w14:cap="flat" w14:cmpd="sng" w14:algn="ctr">
                  <w14:solidFill>
                    <w14:srgbClr w14:val="000000"/>
                  </w14:solidFill>
                  <w14:prstDash w14:val="solid"/>
                  <w14:miter w14:val="0"/>
                </w14:textOutline>
              </w:rPr>
              <w:t>元)</w:t>
            </w:r>
          </w:p>
        </w:tc>
        <w:tc>
          <w:tcPr>
            <w:tcW w:w="2151" w:type="dxa"/>
            <w:tcBorders>
              <w:left w:val="single" w:color="000000" w:sz="4" w:space="0"/>
            </w:tcBorders>
          </w:tcPr>
          <w:p>
            <w:pPr>
              <w:spacing w:before="58" w:line="219" w:lineRule="auto"/>
              <w:jc w:val="center"/>
              <w:rPr>
                <w:rFonts w:ascii="宋体" w:hAnsi="宋体" w:eastAsia="宋体" w:cs="宋体"/>
                <w:spacing w:val="-3"/>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总价[4</w:t>
            </w:r>
            <w:r>
              <w:rPr>
                <w:rFonts w:ascii="宋体" w:hAnsi="宋体" w:eastAsia="宋体" w:cs="宋体"/>
                <w:szCs w:val="21"/>
                <w14:textOutline w14:w="3835" w14:cap="flat" w14:cmpd="sng" w14:algn="ctr">
                  <w14:solidFill>
                    <w14:srgbClr w14:val="000000"/>
                  </w14:solidFill>
                  <w14:prstDash w14:val="solid"/>
                  <w14:miter w14:val="0"/>
                </w14:textOutline>
              </w:rPr>
              <w:t>×6]</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58" w:line="219" w:lineRule="auto"/>
              <w:jc w:val="center"/>
              <w:rPr>
                <w:rFonts w:ascii="宋体" w:hAnsi="宋体" w:eastAsia="宋体" w:cs="宋体"/>
                <w:szCs w:val="21"/>
              </w:rPr>
            </w:pPr>
            <w:r>
              <w:rPr>
                <w:rFonts w:ascii="宋体" w:hAnsi="宋体" w:eastAsia="宋体" w:cs="宋体"/>
                <w:spacing w:val="27"/>
                <w:szCs w:val="21"/>
                <w14:textOutline w14:w="3835" w14:cap="flat" w14:cmpd="sng" w14:algn="ctr">
                  <w14:solidFill>
                    <w14:srgbClr w14:val="000000"/>
                  </w14:solidFill>
                  <w14:prstDash w14:val="solid"/>
                  <w14:miter w14:val="0"/>
                </w14:textOutline>
              </w:rPr>
              <w:t>(</w:t>
            </w:r>
            <w:r>
              <w:rPr>
                <w:rFonts w:ascii="宋体" w:hAnsi="宋体" w:eastAsia="宋体" w:cs="宋体"/>
                <w:spacing w:val="26"/>
                <w:szCs w:val="21"/>
                <w14:textOutline w14:w="3835" w14:cap="flat" w14:cmpd="sng" w14:algn="ctr">
                  <w14:solidFill>
                    <w14:srgbClr w14:val="000000"/>
                  </w14:solidFill>
                  <w14:prstDash w14:val="solid"/>
                  <w14:miter w14:val="0"/>
                </w14:textOutline>
              </w:rPr>
              <w:t>元)</w:t>
            </w:r>
          </w:p>
        </w:tc>
        <w:tc>
          <w:tcPr>
            <w:tcW w:w="1069" w:type="dxa"/>
          </w:tcPr>
          <w:p>
            <w:pPr>
              <w:spacing w:before="221" w:line="222" w:lineRule="auto"/>
              <w:ind w:firstLine="208" w:firstLineChars="10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09" w:line="186" w:lineRule="auto"/>
              <w:ind w:left="304"/>
              <w:rPr>
                <w:rFonts w:ascii="宋体" w:hAnsi="宋体" w:eastAsia="宋体" w:cs="宋体"/>
                <w:szCs w:val="21"/>
              </w:rPr>
            </w:pPr>
            <w:r>
              <w:rPr>
                <w:rFonts w:ascii="宋体" w:hAnsi="宋体" w:eastAsia="宋体" w:cs="宋体"/>
                <w:szCs w:val="21"/>
              </w:rPr>
              <w:t>1</w:t>
            </w:r>
          </w:p>
        </w:tc>
        <w:tc>
          <w:tcPr>
            <w:tcW w:w="2792" w:type="dxa"/>
            <w:vAlign w:val="center"/>
          </w:tcPr>
          <w:p>
            <w:pPr>
              <w:spacing w:line="360" w:lineRule="exact"/>
              <w:jc w:val="center"/>
              <w:rPr>
                <w:rFonts w:hint="default" w:ascii="宋体" w:hAnsi="宋体" w:eastAsia="宋体" w:cs="宋体"/>
                <w:szCs w:val="21"/>
                <w:lang w:val="en-US" w:eastAsia="zh-CN"/>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1" w:line="185" w:lineRule="auto"/>
              <w:ind w:left="291"/>
              <w:rPr>
                <w:rFonts w:ascii="宋体" w:hAnsi="宋体" w:eastAsia="宋体" w:cs="宋体"/>
                <w:szCs w:val="21"/>
              </w:rPr>
            </w:pPr>
            <w:r>
              <w:rPr>
                <w:rFonts w:ascii="宋体" w:hAnsi="宋体" w:eastAsia="宋体" w:cs="宋体"/>
                <w:szCs w:val="21"/>
              </w:rPr>
              <w:t>2</w:t>
            </w:r>
          </w:p>
        </w:tc>
        <w:tc>
          <w:tcPr>
            <w:tcW w:w="2792" w:type="dxa"/>
            <w:vAlign w:val="center"/>
          </w:tcPr>
          <w:p>
            <w:pPr>
              <w:spacing w:line="360" w:lineRule="exact"/>
              <w:jc w:val="center"/>
              <w:rPr>
                <w:rFonts w:ascii="宋体" w:hAnsi="宋体" w:eastAsia="宋体" w:cs="宋体"/>
                <w:sz w:val="24"/>
                <w:szCs w:val="24"/>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2" w:line="183" w:lineRule="auto"/>
              <w:ind w:left="293"/>
              <w:rPr>
                <w:rFonts w:ascii="宋体" w:hAnsi="宋体" w:eastAsia="宋体" w:cs="宋体"/>
                <w:szCs w:val="21"/>
              </w:rPr>
            </w:pPr>
            <w:r>
              <w:rPr>
                <w:rFonts w:ascii="宋体" w:hAnsi="宋体" w:eastAsia="宋体" w:cs="宋体"/>
                <w:szCs w:val="21"/>
              </w:rPr>
              <w:t>3</w:t>
            </w:r>
          </w:p>
        </w:tc>
        <w:tc>
          <w:tcPr>
            <w:tcW w:w="2792" w:type="dxa"/>
            <w:vAlign w:val="center"/>
          </w:tcPr>
          <w:p>
            <w:pPr>
              <w:spacing w:line="360" w:lineRule="exact"/>
              <w:jc w:val="center"/>
              <w:rPr>
                <w:rFonts w:ascii="宋体" w:hAnsi="宋体" w:eastAsia="宋体" w:cs="宋体"/>
                <w:sz w:val="24"/>
                <w:szCs w:val="24"/>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tcPr>
          <w:p>
            <w:pPr>
              <w:spacing w:before="112" w:line="185" w:lineRule="auto"/>
              <w:ind w:left="288"/>
              <w:rPr>
                <w:rFonts w:ascii="宋体" w:hAnsi="宋体" w:eastAsia="宋体" w:cs="宋体"/>
                <w:szCs w:val="21"/>
              </w:rPr>
            </w:pPr>
            <w:r>
              <w:rPr>
                <w:rFonts w:ascii="宋体" w:hAnsi="宋体" w:eastAsia="宋体" w:cs="宋体"/>
                <w:szCs w:val="21"/>
              </w:rPr>
              <w:t>4</w:t>
            </w:r>
          </w:p>
        </w:tc>
        <w:tc>
          <w:tcPr>
            <w:tcW w:w="2792" w:type="dxa"/>
            <w:vAlign w:val="center"/>
          </w:tcPr>
          <w:p>
            <w:pPr>
              <w:spacing w:line="360" w:lineRule="exact"/>
              <w:jc w:val="center"/>
              <w:rPr>
                <w:rFonts w:ascii="宋体" w:hAnsi="宋体" w:eastAsia="宋体" w:cs="宋体"/>
                <w:sz w:val="24"/>
                <w:szCs w:val="24"/>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4" w:line="182" w:lineRule="auto"/>
              <w:ind w:left="293"/>
              <w:rPr>
                <w:rFonts w:ascii="宋体" w:hAnsi="宋体" w:eastAsia="宋体" w:cs="宋体"/>
                <w:szCs w:val="21"/>
              </w:rPr>
            </w:pPr>
            <w:r>
              <w:rPr>
                <w:rFonts w:ascii="宋体" w:hAnsi="宋体" w:eastAsia="宋体" w:cs="宋体"/>
                <w:szCs w:val="21"/>
              </w:rPr>
              <w:t>5</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4" w:line="183" w:lineRule="auto"/>
              <w:ind w:left="291"/>
              <w:rPr>
                <w:rFonts w:ascii="宋体" w:hAnsi="宋体" w:eastAsia="宋体" w:cs="宋体"/>
                <w:szCs w:val="21"/>
              </w:rPr>
            </w:pPr>
            <w:r>
              <w:rPr>
                <w:rFonts w:ascii="宋体" w:hAnsi="宋体" w:eastAsia="宋体" w:cs="宋体"/>
                <w:szCs w:val="21"/>
              </w:rPr>
              <w:t>6</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672" w:type="dxa"/>
          </w:tcPr>
          <w:p>
            <w:pPr>
              <w:spacing w:before="116" w:line="182" w:lineRule="auto"/>
              <w:ind w:left="294"/>
              <w:rPr>
                <w:rFonts w:ascii="宋体" w:hAnsi="宋体" w:eastAsia="宋体" w:cs="宋体"/>
                <w:szCs w:val="21"/>
              </w:rPr>
            </w:pPr>
            <w:r>
              <w:rPr>
                <w:rFonts w:ascii="宋体" w:hAnsi="宋体" w:eastAsia="宋体" w:cs="宋体"/>
                <w:szCs w:val="21"/>
              </w:rPr>
              <w:t>7</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tcPr>
          <w:p>
            <w:pPr>
              <w:spacing w:before="114" w:line="183" w:lineRule="auto"/>
              <w:ind w:left="290"/>
              <w:rPr>
                <w:rFonts w:ascii="宋体" w:hAnsi="宋体" w:eastAsia="宋体" w:cs="宋体"/>
                <w:szCs w:val="21"/>
              </w:rPr>
            </w:pPr>
            <w:r>
              <w:rPr>
                <w:rFonts w:ascii="宋体" w:hAnsi="宋体" w:eastAsia="宋体" w:cs="宋体"/>
                <w:szCs w:val="21"/>
              </w:rPr>
              <w:t>8</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4" w:line="183" w:lineRule="auto"/>
              <w:ind w:left="290"/>
              <w:rPr>
                <w:rFonts w:ascii="宋体" w:hAnsi="宋体" w:eastAsia="宋体" w:cs="宋体"/>
                <w:szCs w:val="21"/>
              </w:rPr>
            </w:pPr>
            <w:r>
              <w:rPr>
                <w:rFonts w:ascii="宋体" w:hAnsi="宋体" w:eastAsia="宋体" w:cs="宋体"/>
                <w:szCs w:val="21"/>
              </w:rPr>
              <w:t>9</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79" w:line="284" w:lineRule="exact"/>
              <w:ind w:left="249"/>
              <w:rPr>
                <w:rFonts w:ascii="宋体" w:hAnsi="宋体" w:eastAsia="宋体" w:cs="宋体"/>
                <w:szCs w:val="21"/>
              </w:rPr>
            </w:pPr>
            <w:r>
              <w:rPr>
                <w:rFonts w:hint="eastAsia" w:ascii="宋体" w:hAnsi="宋体" w:eastAsia="宋体" w:cs="宋体"/>
                <w:position w:val="1"/>
                <w:szCs w:val="21"/>
              </w:rPr>
              <w:t>10</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79" w:line="284" w:lineRule="exact"/>
              <w:ind w:left="249"/>
              <w:rPr>
                <w:rFonts w:ascii="宋体" w:hAnsi="宋体" w:eastAsia="宋体" w:cs="宋体"/>
                <w:position w:val="1"/>
                <w:szCs w:val="21"/>
              </w:rPr>
            </w:pPr>
            <w:r>
              <w:rPr>
                <w:rFonts w:hint="eastAsia" w:ascii="宋体" w:hAnsi="宋体" w:eastAsia="宋体" w:cs="宋体"/>
                <w:position w:val="1"/>
                <w:szCs w:val="21"/>
              </w:rPr>
              <w:t>11</w:t>
            </w:r>
          </w:p>
        </w:tc>
        <w:tc>
          <w:tcPr>
            <w:tcW w:w="2792" w:type="dxa"/>
          </w:tcPr>
          <w:p>
            <w:pPr>
              <w:rPr>
                <w:rFonts w:ascii="宋体" w:hAnsi="宋体" w:eastAsia="宋体" w:cs="宋体"/>
              </w:rPr>
            </w:pPr>
            <w:r>
              <w:rPr>
                <w:rFonts w:hint="eastAsia" w:ascii="宋体" w:hAnsi="宋体" w:eastAsia="宋体" w:cs="宋体"/>
              </w:rPr>
              <w:t>...以上投标设备不足之处请往下添加序号自行补充</w:t>
            </w: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0754" w:type="dxa"/>
            <w:gridSpan w:val="6"/>
            <w:tcBorders>
              <w:right w:val="single" w:color="000000" w:sz="4" w:space="0"/>
            </w:tcBorders>
          </w:tcPr>
          <w:p>
            <w:pPr>
              <w:jc w:val="center"/>
              <w:rPr>
                <w:rFonts w:ascii="Arial"/>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2151" w:type="dxa"/>
            <w:tcBorders>
              <w:left w:val="single" w:color="000000" w:sz="4" w:space="0"/>
            </w:tcBorders>
          </w:tcPr>
          <w:p>
            <w:pPr>
              <w:rPr>
                <w:rFonts w:ascii="Arial"/>
              </w:rPr>
            </w:pPr>
          </w:p>
        </w:tc>
        <w:tc>
          <w:tcPr>
            <w:tcW w:w="1069" w:type="dxa"/>
          </w:tcPr>
          <w:p>
            <w:pPr>
              <w:rPr>
                <w:rFonts w:ascii="Arial"/>
              </w:rPr>
            </w:pPr>
          </w:p>
        </w:tc>
      </w:tr>
    </w:tbl>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29"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ascii="Arial"/>
              </w:rPr>
            </w:pPr>
          </w:p>
        </w:tc>
        <w:tc>
          <w:tcPr>
            <w:tcW w:w="3530" w:type="dxa"/>
            <w:vMerge w:val="continue"/>
            <w:tcBorders>
              <w:top w:val="nil"/>
            </w:tcBorders>
          </w:tcPr>
          <w:p>
            <w:pPr>
              <w:rPr>
                <w:rFonts w:ascii="Arial"/>
              </w:rPr>
            </w:pPr>
          </w:p>
        </w:tc>
        <w:tc>
          <w:tcPr>
            <w:tcW w:w="2159" w:type="dxa"/>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restart"/>
            <w:tcBorders>
              <w:bottom w:val="nil"/>
            </w:tcBorders>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continue"/>
            <w:tcBorders>
              <w:top w:val="nil"/>
            </w:tcBorders>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rPr>
                <w:rFonts w:ascii="宋体" w:hAnsi="宋体" w:eastAsia="宋体" w:cs="宋体"/>
                <w:szCs w:val="21"/>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4760" w:type="dxa"/>
            <w:gridSpan w:val="2"/>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30" w:type="default"/>
          <w:pgSz w:w="16841" w:h="11907"/>
          <w:pgMar w:top="400" w:right="1699" w:bottom="1184" w:left="1481" w:header="0" w:footer="1022" w:gutter="0"/>
          <w:cols w:space="720" w:num="1"/>
        </w:sectPr>
      </w:pPr>
    </w:p>
    <w:p>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20" w:lineRule="exact"/>
      </w:pPr>
    </w:p>
    <w:tbl>
      <w:tblPr>
        <w:tblStyle w:val="131"/>
        <w:tblW w:w="13641"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83"/>
        <w:gridCol w:w="3995"/>
        <w:gridCol w:w="1241"/>
        <w:gridCol w:w="1255"/>
        <w:gridCol w:w="2699"/>
        <w:gridCol w:w="366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5" w:hRule="atLeast"/>
        </w:trPr>
        <w:tc>
          <w:tcPr>
            <w:tcW w:w="783" w:type="dxa"/>
          </w:tcPr>
          <w:p>
            <w:pPr>
              <w:spacing w:before="267" w:line="222" w:lineRule="auto"/>
              <w:ind w:left="27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995" w:type="dxa"/>
          </w:tcPr>
          <w:p>
            <w:pPr>
              <w:spacing w:before="266" w:line="221" w:lineRule="auto"/>
              <w:jc w:val="center"/>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241"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255"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699"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3668"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783" w:type="dxa"/>
          </w:tcPr>
          <w:p>
            <w:pPr>
              <w:spacing w:before="300" w:line="186" w:lineRule="auto"/>
              <w:ind w:left="443"/>
              <w:rPr>
                <w:rFonts w:ascii="宋体" w:hAnsi="宋体" w:eastAsia="宋体" w:cs="宋体"/>
                <w:szCs w:val="21"/>
              </w:rPr>
            </w:pPr>
            <w:r>
              <w:rPr>
                <w:rFonts w:ascii="宋体" w:hAnsi="宋体" w:eastAsia="宋体" w:cs="宋体"/>
                <w:szCs w:val="21"/>
              </w:rPr>
              <w:t>1</w:t>
            </w:r>
          </w:p>
        </w:tc>
        <w:tc>
          <w:tcPr>
            <w:tcW w:w="3995" w:type="dxa"/>
          </w:tcPr>
          <w:p>
            <w:pPr>
              <w:spacing w:before="266" w:line="221" w:lineRule="auto"/>
              <w:jc w:val="center"/>
              <w:rPr>
                <w:rFonts w:ascii="宋体" w:hAnsi="宋体" w:eastAsia="宋体" w:cs="宋体"/>
                <w:szCs w:val="21"/>
              </w:rPr>
            </w:pPr>
            <w:r>
              <w:rPr>
                <w:rFonts w:ascii="宋体" w:hAnsi="宋体" w:eastAsia="宋体" w:cs="宋体"/>
                <w:spacing w:val="-1"/>
                <w:szCs w:val="21"/>
              </w:rPr>
              <w:t>现场指导安装</w:t>
            </w:r>
          </w:p>
        </w:tc>
        <w:tc>
          <w:tcPr>
            <w:tcW w:w="1241" w:type="dxa"/>
          </w:tcPr>
          <w:p>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783" w:type="dxa"/>
          </w:tcPr>
          <w:p>
            <w:pPr>
              <w:spacing w:before="302" w:line="185" w:lineRule="auto"/>
              <w:ind w:left="430"/>
              <w:rPr>
                <w:rFonts w:ascii="宋体" w:hAnsi="宋体" w:eastAsia="宋体" w:cs="宋体"/>
                <w:szCs w:val="21"/>
              </w:rPr>
            </w:pPr>
            <w:r>
              <w:rPr>
                <w:rFonts w:ascii="宋体" w:hAnsi="宋体" w:eastAsia="宋体" w:cs="宋体"/>
                <w:szCs w:val="21"/>
              </w:rPr>
              <w:t>2</w:t>
            </w:r>
          </w:p>
        </w:tc>
        <w:tc>
          <w:tcPr>
            <w:tcW w:w="3995" w:type="dxa"/>
          </w:tcPr>
          <w:p>
            <w:pPr>
              <w:spacing w:before="266" w:line="221" w:lineRule="auto"/>
              <w:jc w:val="center"/>
              <w:rPr>
                <w:rFonts w:ascii="宋体" w:hAnsi="宋体" w:eastAsia="宋体" w:cs="宋体"/>
                <w:szCs w:val="21"/>
              </w:rPr>
            </w:pPr>
            <w:r>
              <w:rPr>
                <w:rFonts w:ascii="宋体" w:hAnsi="宋体" w:eastAsia="宋体" w:cs="宋体"/>
                <w:spacing w:val="-1"/>
                <w:szCs w:val="21"/>
              </w:rPr>
              <w:t>现场指导调试</w:t>
            </w:r>
          </w:p>
        </w:tc>
        <w:tc>
          <w:tcPr>
            <w:tcW w:w="1241" w:type="dxa"/>
          </w:tcPr>
          <w:p>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6" w:hRule="atLeast"/>
        </w:trPr>
        <w:tc>
          <w:tcPr>
            <w:tcW w:w="783" w:type="dxa"/>
          </w:tcPr>
          <w:p>
            <w:pPr>
              <w:spacing w:before="301" w:line="185" w:lineRule="auto"/>
              <w:ind w:left="427"/>
              <w:rPr>
                <w:rFonts w:ascii="宋体" w:hAnsi="宋体" w:eastAsia="宋体" w:cs="宋体"/>
                <w:szCs w:val="21"/>
              </w:rPr>
            </w:pPr>
            <w:r>
              <w:rPr>
                <w:rFonts w:hint="eastAsia" w:ascii="宋体" w:hAnsi="宋体" w:eastAsia="宋体" w:cs="宋体"/>
                <w:szCs w:val="21"/>
              </w:rPr>
              <w:t>3</w:t>
            </w:r>
          </w:p>
        </w:tc>
        <w:tc>
          <w:tcPr>
            <w:tcW w:w="3995" w:type="dxa"/>
          </w:tcPr>
          <w:p>
            <w:pPr>
              <w:spacing w:before="266" w:line="221" w:lineRule="auto"/>
              <w:jc w:val="center"/>
              <w:rPr>
                <w:rFonts w:ascii="宋体" w:hAnsi="宋体" w:eastAsia="宋体" w:cs="宋体"/>
                <w:szCs w:val="21"/>
              </w:rPr>
            </w:pPr>
            <w:r>
              <w:rPr>
                <w:rFonts w:hint="eastAsia" w:ascii="宋体" w:hAnsi="宋体" w:eastAsia="宋体" w:cs="宋体"/>
                <w:szCs w:val="21"/>
              </w:rPr>
              <w:t>现场技术支持解决技术难题</w:t>
            </w:r>
          </w:p>
        </w:tc>
        <w:tc>
          <w:tcPr>
            <w:tcW w:w="1241" w:type="dxa"/>
          </w:tcPr>
          <w:p>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1" w:hRule="atLeast"/>
        </w:trPr>
        <w:tc>
          <w:tcPr>
            <w:tcW w:w="783" w:type="dxa"/>
          </w:tcPr>
          <w:p>
            <w:pPr>
              <w:spacing w:before="306" w:line="182" w:lineRule="auto"/>
              <w:ind w:left="432"/>
              <w:rPr>
                <w:rFonts w:ascii="宋体" w:hAnsi="宋体" w:eastAsia="宋体" w:cs="宋体"/>
                <w:szCs w:val="21"/>
              </w:rPr>
            </w:pPr>
            <w:r>
              <w:rPr>
                <w:rFonts w:hint="eastAsia" w:ascii="宋体" w:hAnsi="宋体" w:eastAsia="宋体" w:cs="宋体"/>
                <w:szCs w:val="21"/>
              </w:rPr>
              <w:t>4</w:t>
            </w:r>
          </w:p>
        </w:tc>
        <w:tc>
          <w:tcPr>
            <w:tcW w:w="3995" w:type="dxa"/>
          </w:tcPr>
          <w:p>
            <w:pPr>
              <w:spacing w:before="268" w:line="221" w:lineRule="auto"/>
              <w:jc w:val="center"/>
              <w:rPr>
                <w:rFonts w:ascii="宋体" w:hAnsi="宋体" w:eastAsia="宋体" w:cs="宋体"/>
                <w:szCs w:val="21"/>
              </w:rPr>
            </w:pPr>
            <w:r>
              <w:rPr>
                <w:rFonts w:hint="eastAsia" w:ascii="宋体" w:hAnsi="宋体" w:eastAsia="宋体" w:cs="宋体"/>
                <w:szCs w:val="21"/>
                <w:lang w:bidi="ar"/>
              </w:rPr>
              <w:t>企业管理费</w:t>
            </w:r>
          </w:p>
        </w:tc>
        <w:tc>
          <w:tcPr>
            <w:tcW w:w="1241" w:type="dxa"/>
          </w:tcPr>
          <w:p>
            <w:pPr>
              <w:spacing w:before="266" w:line="221" w:lineRule="auto"/>
              <w:jc w:val="center"/>
              <w:rPr>
                <w:rFonts w:ascii="宋体" w:hAnsi="宋体" w:eastAsia="宋体" w:cs="宋体"/>
                <w:spacing w:val="-2"/>
                <w:szCs w:val="21"/>
              </w:rPr>
            </w:pP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783" w:type="dxa"/>
          </w:tcPr>
          <w:p>
            <w:pPr>
              <w:spacing w:before="306" w:line="182" w:lineRule="auto"/>
              <w:ind w:left="432"/>
              <w:rPr>
                <w:rFonts w:ascii="宋体" w:hAnsi="宋体" w:eastAsia="宋体" w:cs="宋体"/>
                <w:szCs w:val="21"/>
              </w:rPr>
            </w:pPr>
          </w:p>
        </w:tc>
        <w:tc>
          <w:tcPr>
            <w:tcW w:w="3995" w:type="dxa"/>
          </w:tcPr>
          <w:p>
            <w:pPr>
              <w:spacing w:before="268" w:line="221" w:lineRule="auto"/>
              <w:jc w:val="center"/>
              <w:rPr>
                <w:rFonts w:ascii="宋体" w:hAnsi="宋体" w:eastAsia="宋体" w:cs="宋体"/>
                <w:spacing w:val="15"/>
                <w:szCs w:val="21"/>
              </w:rPr>
            </w:pPr>
            <w:r>
              <w:rPr>
                <w:rFonts w:hint="eastAsia" w:ascii="宋体" w:hAnsi="宋体" w:eastAsia="宋体" w:cs="宋体"/>
                <w:szCs w:val="21"/>
                <w:lang w:bidi="ar"/>
              </w:rPr>
              <w:t>检验检测费</w:t>
            </w:r>
          </w:p>
        </w:tc>
        <w:tc>
          <w:tcPr>
            <w:tcW w:w="1241" w:type="dxa"/>
          </w:tcPr>
          <w:p>
            <w:pPr>
              <w:spacing w:before="266" w:line="221" w:lineRule="auto"/>
              <w:jc w:val="center"/>
              <w:rPr>
                <w:rFonts w:ascii="宋体" w:hAnsi="宋体" w:eastAsia="宋体" w:cs="宋体"/>
                <w:spacing w:val="-2"/>
                <w:szCs w:val="21"/>
              </w:rPr>
            </w:pP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783" w:type="dxa"/>
          </w:tcPr>
          <w:p>
            <w:pPr>
              <w:spacing w:before="306" w:line="182" w:lineRule="auto"/>
              <w:ind w:left="432"/>
              <w:rPr>
                <w:rFonts w:ascii="宋体" w:hAnsi="宋体" w:eastAsia="宋体" w:cs="宋体"/>
                <w:szCs w:val="21"/>
              </w:rPr>
            </w:pPr>
          </w:p>
        </w:tc>
        <w:tc>
          <w:tcPr>
            <w:tcW w:w="3995" w:type="dxa"/>
          </w:tcPr>
          <w:p>
            <w:pPr>
              <w:spacing w:before="268" w:line="221" w:lineRule="auto"/>
              <w:jc w:val="center"/>
              <w:rPr>
                <w:rFonts w:ascii="宋体" w:hAnsi="宋体" w:eastAsia="宋体" w:cs="宋体"/>
                <w:spacing w:val="15"/>
                <w:szCs w:val="21"/>
              </w:rPr>
            </w:pPr>
            <w:r>
              <w:rPr>
                <w:rFonts w:ascii="宋体" w:hAnsi="宋体" w:eastAsia="宋体" w:cs="宋体"/>
                <w:spacing w:val="-1"/>
                <w:szCs w:val="21"/>
              </w:rPr>
              <w:t>.......以上不足之处请往下添加序号自行补充</w:t>
            </w:r>
          </w:p>
        </w:tc>
        <w:tc>
          <w:tcPr>
            <w:tcW w:w="1241" w:type="dxa"/>
          </w:tcPr>
          <w:p>
            <w:pPr>
              <w:spacing w:before="266" w:line="221" w:lineRule="auto"/>
              <w:jc w:val="center"/>
              <w:rPr>
                <w:rFonts w:ascii="宋体" w:hAnsi="宋体" w:eastAsia="宋体" w:cs="宋体"/>
                <w:spacing w:val="-2"/>
                <w:szCs w:val="21"/>
              </w:rPr>
            </w:pP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4778"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总价合计列入价格汇总表 1-</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241"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255"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69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66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20"/>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31" w:type="default"/>
          <w:pgSz w:w="16841" w:h="11907"/>
          <w:pgMar w:top="400" w:right="1699" w:bottom="1184" w:left="1481" w:header="0" w:footer="1022" w:gutter="0"/>
          <w:cols w:space="720" w:num="1"/>
        </w:sectPr>
      </w:pPr>
    </w:p>
    <w:p>
      <w:pPr>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20"/>
          <w:sz w:val="24"/>
          <w:szCs w:val="24"/>
          <w14:textOutline w14:w="5791" w14:cap="flat" w14:cmpd="sng" w14:algn="ctr">
            <w14:solidFill>
              <w14:srgbClr w14:val="000000"/>
            </w14:solidFill>
            <w14:prstDash w14:val="solid"/>
            <w14:miter w14:val="0"/>
          </w14:textOutline>
        </w:rPr>
        <w:t>质保</w:t>
      </w:r>
      <w:r>
        <w:rPr>
          <w:rFonts w:ascii="宋体" w:hAnsi="宋体" w:eastAsia="宋体" w:cs="宋体"/>
          <w:spacing w:val="12"/>
          <w:sz w:val="24"/>
          <w:szCs w:val="24"/>
          <w14:textOutline w14:w="5791" w14:cap="flat" w14:cmpd="sng" w14:algn="ctr">
            <w14:solidFill>
              <w14:srgbClr w14:val="000000"/>
            </w14:solidFill>
            <w14:prstDash w14:val="solid"/>
            <w14:miter w14:val="0"/>
          </w14:textOutline>
        </w:rPr>
        <w:t>期</w:t>
      </w: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内随机标准附件及易损件、备品备件、专用工具、专用检测仪器仪表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1940"/>
        <w:gridCol w:w="1770"/>
        <w:gridCol w:w="1888"/>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940" w:type="dxa"/>
          </w:tcPr>
          <w:p>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770" w:type="dxa"/>
          </w:tcPr>
          <w:p>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88" w:type="dxa"/>
          </w:tcPr>
          <w:p>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tcPr>
          <w:p>
            <w:pPr>
              <w:spacing w:before="146" w:line="211" w:lineRule="auto"/>
              <w:ind w:left="89"/>
              <w:rPr>
                <w:rFonts w:ascii="宋体" w:hAnsi="宋体" w:eastAsia="宋体" w:cs="宋体"/>
                <w:szCs w:val="21"/>
              </w:rPr>
            </w:pPr>
            <w:r>
              <w:rPr>
                <w:rFonts w:ascii="宋体" w:hAnsi="宋体" w:eastAsia="宋体" w:cs="宋体"/>
                <w:spacing w:val="4"/>
                <w:szCs w:val="21"/>
                <w14:textOutline w14:w="3835" w14:cap="flat" w14:cmpd="sng" w14:algn="ctr">
                  <w14:solidFill>
                    <w14:srgbClr w14:val="000000"/>
                  </w14:solidFill>
                  <w14:prstDash w14:val="solid"/>
                  <w14:miter w14:val="0"/>
                </w14:textOutline>
              </w:rPr>
              <w:t>序</w:t>
            </w:r>
            <w:r>
              <w:rPr>
                <w:rFonts w:ascii="宋体" w:hAnsi="宋体" w:eastAsia="宋体" w:cs="宋体"/>
                <w:spacing w:val="4"/>
                <w:szCs w:val="21"/>
              </w:rPr>
              <w:t xml:space="preserve"> </w:t>
            </w:r>
            <w:r>
              <w:rPr>
                <w:rFonts w:ascii="宋体" w:hAnsi="宋体" w:eastAsia="宋体" w:cs="宋体"/>
                <w:spacing w:val="4"/>
                <w:szCs w:val="21"/>
                <w14:textOutline w14:w="3835" w14:cap="flat" w14:cmpd="sng" w14:algn="ctr">
                  <w14:solidFill>
                    <w14:srgbClr w14:val="000000"/>
                  </w14:solidFill>
                  <w14:prstDash w14:val="solid"/>
                  <w14:miter w14:val="0"/>
                </w14:textOutline>
              </w:rPr>
              <w:t>号</w:t>
            </w:r>
          </w:p>
        </w:tc>
        <w:tc>
          <w:tcPr>
            <w:tcW w:w="2543" w:type="dxa"/>
          </w:tcPr>
          <w:p>
            <w:pPr>
              <w:spacing w:before="252" w:line="221" w:lineRule="auto"/>
              <w:ind w:left="538"/>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ascii="宋体" w:hAnsi="宋体" w:eastAsia="宋体" w:cs="宋体"/>
                <w:szCs w:val="21"/>
                <w14:textOutline w14:w="3835" w14:cap="flat" w14:cmpd="sng" w14:algn="ctr">
                  <w14:solidFill>
                    <w14:srgbClr w14:val="000000"/>
                  </w14:solidFill>
                  <w14:prstDash w14:val="solid"/>
                  <w14:miter w14:val="0"/>
                </w14:textOutline>
              </w:rPr>
              <w:t>工具名称</w:t>
            </w:r>
          </w:p>
        </w:tc>
        <w:tc>
          <w:tcPr>
            <w:tcW w:w="2100" w:type="dxa"/>
          </w:tcPr>
          <w:p>
            <w:pPr>
              <w:spacing w:before="252" w:line="221" w:lineRule="auto"/>
              <w:ind w:left="534"/>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tcPr>
          <w:p>
            <w:pPr>
              <w:spacing w:before="252" w:line="221" w:lineRule="auto"/>
              <w:ind w:left="215"/>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数量</w:t>
            </w:r>
          </w:p>
        </w:tc>
        <w:tc>
          <w:tcPr>
            <w:tcW w:w="1940" w:type="dxa"/>
          </w:tcPr>
          <w:p>
            <w:pPr>
              <w:spacing w:before="89" w:line="327" w:lineRule="exact"/>
              <w:ind w:left="708"/>
              <w:rPr>
                <w:rFonts w:ascii="宋体" w:hAnsi="宋体" w:eastAsia="宋体" w:cs="宋体"/>
                <w:szCs w:val="21"/>
              </w:rPr>
            </w:pPr>
            <w:r>
              <w:rPr>
                <w:rFonts w:ascii="宋体" w:hAnsi="宋体" w:eastAsia="宋体" w:cs="宋体"/>
                <w:spacing w:val="-2"/>
                <w:position w:val="8"/>
                <w:szCs w:val="21"/>
                <w14:textOutline w14:w="3835" w14:cap="flat" w14:cmpd="sng" w14:algn="ctr">
                  <w14:solidFill>
                    <w14:srgbClr w14:val="000000"/>
                  </w14:solidFill>
                  <w14:prstDash w14:val="solid"/>
                  <w14:miter w14:val="0"/>
                </w14:textOutline>
              </w:rPr>
              <w:t>原产地</w:t>
            </w:r>
            <w:r>
              <w:rPr>
                <w:rFonts w:ascii="宋体" w:hAnsi="宋体" w:eastAsia="宋体" w:cs="宋体"/>
                <w:spacing w:val="-1"/>
                <w:position w:val="8"/>
                <w:szCs w:val="21"/>
                <w14:textOutline w14:w="3835" w14:cap="flat" w14:cmpd="sng" w14:algn="ctr">
                  <w14:solidFill>
                    <w14:srgbClr w14:val="000000"/>
                  </w14:solidFill>
                  <w14:prstDash w14:val="solid"/>
                  <w14:miter w14:val="0"/>
                </w14:textOutline>
              </w:rPr>
              <w:t>和</w:t>
            </w:r>
          </w:p>
          <w:p>
            <w:pPr>
              <w:spacing w:line="221" w:lineRule="auto"/>
              <w:ind w:left="598"/>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ascii="宋体" w:hAnsi="宋体" w:eastAsia="宋体" w:cs="宋体"/>
                <w:szCs w:val="21"/>
                <w14:textOutline w14:w="3835" w14:cap="flat" w14:cmpd="sng" w14:algn="ctr">
                  <w14:solidFill>
                    <w14:srgbClr w14:val="000000"/>
                  </w14:solidFill>
                  <w14:prstDash w14:val="solid"/>
                  <w14:miter w14:val="0"/>
                </w14:textOutline>
              </w:rPr>
              <w:t>名称</w:t>
            </w:r>
          </w:p>
        </w:tc>
        <w:tc>
          <w:tcPr>
            <w:tcW w:w="1770" w:type="dxa"/>
          </w:tcPr>
          <w:p>
            <w:pPr>
              <w:spacing w:before="90" w:line="219" w:lineRule="auto"/>
              <w:ind w:left="27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w:t>
            </w:r>
            <w:r>
              <w:rPr>
                <w:rFonts w:ascii="宋体" w:hAnsi="宋体" w:eastAsia="宋体" w:cs="宋体"/>
                <w:szCs w:val="21"/>
                <w14:textOutline w14:w="3835" w14:cap="flat" w14:cmpd="sng" w14:algn="ctr">
                  <w14:solidFill>
                    <w14:srgbClr w14:val="000000"/>
                  </w14:solidFill>
                  <w14:prstDash w14:val="solid"/>
                  <w14:miter w14:val="0"/>
                </w14:textOutline>
              </w:rPr>
              <w:t>价</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77" w:line="221" w:lineRule="auto"/>
              <w:ind w:firstLine="712" w:firstLineChars="400"/>
              <w:rPr>
                <w:rFonts w:ascii="宋体" w:hAnsi="宋体" w:eastAsia="宋体" w:cs="宋体"/>
                <w:szCs w:val="21"/>
              </w:rPr>
            </w:pPr>
            <w:r>
              <w:rPr>
                <w:rFonts w:ascii="宋体" w:hAnsi="宋体" w:eastAsia="宋体" w:cs="宋体"/>
                <w:spacing w:val="-16"/>
                <w:szCs w:val="21"/>
                <w14:textOutline w14:w="3835" w14:cap="flat" w14:cmpd="sng" w14:algn="ctr">
                  <w14:solidFill>
                    <w14:srgbClr w14:val="000000"/>
                  </w14:solidFill>
                  <w14:prstDash w14:val="solid"/>
                  <w14:miter w14:val="0"/>
                </w14:textOutline>
              </w:rPr>
              <w:t>(</w:t>
            </w:r>
            <w:r>
              <w:rPr>
                <w:rFonts w:ascii="宋体" w:hAnsi="宋体" w:eastAsia="宋体" w:cs="宋体"/>
                <w:spacing w:val="-14"/>
                <w:szCs w:val="21"/>
                <w14:textOutline w14:w="3835" w14:cap="flat" w14:cmpd="sng" w14:algn="ctr">
                  <w14:solidFill>
                    <w14:srgbClr w14:val="000000"/>
                  </w14:solidFill>
                  <w14:prstDash w14:val="solid"/>
                  <w14:miter w14:val="0"/>
                </w14:textOutline>
              </w:rPr>
              <w:t>元)</w:t>
            </w:r>
          </w:p>
        </w:tc>
        <w:tc>
          <w:tcPr>
            <w:tcW w:w="1888" w:type="dxa"/>
          </w:tcPr>
          <w:p>
            <w:pPr>
              <w:spacing w:before="90" w:line="219" w:lineRule="auto"/>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ascii="宋体" w:hAnsi="宋体" w:eastAsia="宋体" w:cs="宋体"/>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77" w:line="221" w:lineRule="auto"/>
              <w:ind w:left="747"/>
              <w:rPr>
                <w:rFonts w:ascii="宋体" w:hAnsi="宋体" w:eastAsia="宋体" w:cs="宋体"/>
                <w:szCs w:val="21"/>
              </w:rPr>
            </w:pPr>
            <w:r>
              <w:rPr>
                <w:rFonts w:ascii="宋体" w:hAnsi="宋体" w:eastAsia="宋体" w:cs="宋体"/>
                <w:spacing w:val="27"/>
                <w:szCs w:val="21"/>
                <w14:textOutline w14:w="3835" w14:cap="flat" w14:cmpd="sng" w14:algn="ctr">
                  <w14:solidFill>
                    <w14:srgbClr w14:val="000000"/>
                  </w14:solidFill>
                  <w14:prstDash w14:val="solid"/>
                  <w14:miter w14:val="0"/>
                </w14:textOutline>
              </w:rPr>
              <w:t>(</w:t>
            </w:r>
            <w:r>
              <w:rPr>
                <w:rFonts w:ascii="宋体" w:hAnsi="宋体" w:eastAsia="宋体" w:cs="宋体"/>
                <w:spacing w:val="26"/>
                <w:szCs w:val="21"/>
                <w14:textOutline w14:w="3835" w14:cap="flat" w14:cmpd="sng" w14:algn="ctr">
                  <w14:solidFill>
                    <w14:srgbClr w14:val="000000"/>
                  </w14:solidFill>
                  <w14:prstDash w14:val="solid"/>
                  <w14:miter w14:val="0"/>
                </w14:textOutline>
              </w:rPr>
              <w:t>元)</w:t>
            </w:r>
          </w:p>
        </w:tc>
        <w:tc>
          <w:tcPr>
            <w:tcW w:w="1120" w:type="dxa"/>
          </w:tcPr>
          <w:p>
            <w:pPr>
              <w:spacing w:before="89" w:line="327" w:lineRule="exact"/>
              <w:ind w:left="360"/>
              <w:rPr>
                <w:rFonts w:ascii="宋体" w:hAnsi="宋体" w:eastAsia="宋体" w:cs="宋体"/>
                <w:szCs w:val="21"/>
              </w:rPr>
            </w:pPr>
            <w:r>
              <w:rPr>
                <w:rFonts w:ascii="宋体" w:hAnsi="宋体" w:eastAsia="宋体" w:cs="宋体"/>
                <w:spacing w:val="-3"/>
                <w:position w:val="8"/>
                <w:szCs w:val="21"/>
                <w14:textOutline w14:w="3835" w14:cap="flat" w14:cmpd="sng" w14:algn="ctr">
                  <w14:solidFill>
                    <w14:srgbClr w14:val="000000"/>
                  </w14:solidFill>
                  <w14:prstDash w14:val="solid"/>
                  <w14:miter w14:val="0"/>
                </w14:textOutline>
              </w:rPr>
              <w:t>更</w:t>
            </w:r>
            <w:r>
              <w:rPr>
                <w:rFonts w:ascii="宋体" w:hAnsi="宋体" w:eastAsia="宋体" w:cs="宋体"/>
                <w:spacing w:val="-2"/>
                <w:position w:val="8"/>
                <w:szCs w:val="21"/>
                <w14:textOutline w14:w="3835" w14:cap="flat" w14:cmpd="sng" w14:algn="ctr">
                  <w14:solidFill>
                    <w14:srgbClr w14:val="000000"/>
                  </w14:solidFill>
                  <w14:prstDash w14:val="solid"/>
                  <w14:miter w14:val="0"/>
                </w14:textOutline>
              </w:rPr>
              <w:t>换</w:t>
            </w:r>
          </w:p>
          <w:p>
            <w:pPr>
              <w:spacing w:line="221" w:lineRule="auto"/>
              <w:ind w:left="358"/>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周期</w:t>
            </w:r>
          </w:p>
        </w:tc>
        <w:tc>
          <w:tcPr>
            <w:tcW w:w="1125" w:type="dxa"/>
          </w:tcPr>
          <w:p>
            <w:pPr>
              <w:spacing w:before="253" w:line="222" w:lineRule="auto"/>
              <w:ind w:left="252"/>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pPr>
              <w:pStyle w:val="128"/>
              <w:spacing w:before="60" w:after="60"/>
              <w:jc w:val="center"/>
              <w:rPr>
                <w:rFonts w:ascii="宋体" w:hAnsi="宋体" w:eastAsia="宋体" w:cs="宋体"/>
                <w:szCs w:val="21"/>
              </w:rPr>
            </w:pPr>
            <w:r>
              <w:rPr>
                <w:rFonts w:hint="eastAsia" w:ascii="宋体" w:hAnsi="宋体" w:eastAsia="宋体" w:cs="宋体"/>
                <w:szCs w:val="21"/>
              </w:rPr>
              <w:t>1</w:t>
            </w:r>
          </w:p>
        </w:tc>
        <w:tc>
          <w:tcPr>
            <w:tcW w:w="2543" w:type="dxa"/>
            <w:vAlign w:val="center"/>
          </w:tcPr>
          <w:p>
            <w:pPr>
              <w:pStyle w:val="128"/>
              <w:spacing w:before="60" w:after="60"/>
              <w:jc w:val="center"/>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vAlign w:val="center"/>
          </w:tcPr>
          <w:p>
            <w:pPr>
              <w:pStyle w:val="128"/>
              <w:spacing w:before="60" w:after="60"/>
              <w:jc w:val="center"/>
              <w:rPr>
                <w:rFonts w:ascii="宋体" w:hAnsi="宋体" w:eastAsia="宋体" w:cs="宋体"/>
                <w:szCs w:val="21"/>
              </w:rPr>
            </w:pPr>
            <w:r>
              <w:rPr>
                <w:rFonts w:hint="eastAsia" w:ascii="宋体" w:hAnsi="宋体" w:eastAsia="宋体" w:cs="宋体"/>
                <w:szCs w:val="21"/>
              </w:rPr>
              <w:t>2</w:t>
            </w:r>
          </w:p>
        </w:tc>
        <w:tc>
          <w:tcPr>
            <w:tcW w:w="2543" w:type="dxa"/>
            <w:vAlign w:val="center"/>
          </w:tcPr>
          <w:p>
            <w:pPr>
              <w:pStyle w:val="128"/>
              <w:spacing w:before="60" w:after="60"/>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pPr>
              <w:rPr>
                <w:rFonts w:ascii="Arial"/>
              </w:rPr>
            </w:p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vAlign w:val="center"/>
          </w:tcPr>
          <w:p>
            <w:pPr>
              <w:pStyle w:val="128"/>
              <w:spacing w:before="60" w:after="60"/>
              <w:jc w:val="center"/>
              <w:rPr>
                <w:rFonts w:ascii="宋体" w:hAnsi="宋体" w:eastAsia="宋体" w:cs="宋体"/>
                <w:szCs w:val="21"/>
              </w:rPr>
            </w:pPr>
            <w:r>
              <w:rPr>
                <w:rFonts w:hint="eastAsia" w:ascii="宋体" w:hAnsi="宋体" w:eastAsia="宋体" w:cs="宋体"/>
                <w:szCs w:val="21"/>
              </w:rPr>
              <w:t>3</w:t>
            </w:r>
          </w:p>
        </w:tc>
        <w:tc>
          <w:tcPr>
            <w:tcW w:w="2543" w:type="dxa"/>
            <w:vAlign w:val="center"/>
          </w:tcPr>
          <w:p>
            <w:pPr>
              <w:pStyle w:val="128"/>
              <w:spacing w:before="60" w:after="60"/>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pPr>
              <w:rPr>
                <w:rFonts w:ascii="Arial"/>
              </w:rPr>
            </w:p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509" w:type="dxa"/>
            <w:vAlign w:val="center"/>
          </w:tcPr>
          <w:p>
            <w:pPr>
              <w:pStyle w:val="128"/>
              <w:spacing w:before="60" w:after="60"/>
              <w:jc w:val="center"/>
              <w:rPr>
                <w:rFonts w:ascii="宋体" w:hAnsi="宋体" w:eastAsia="宋体" w:cs="宋体"/>
                <w:szCs w:val="21"/>
              </w:rPr>
            </w:pPr>
            <w:r>
              <w:rPr>
                <w:rFonts w:hint="eastAsia" w:ascii="宋体" w:hAnsi="宋体" w:eastAsia="宋体" w:cs="宋体"/>
                <w:szCs w:val="21"/>
              </w:rPr>
              <w:t>4</w:t>
            </w:r>
          </w:p>
        </w:tc>
        <w:tc>
          <w:tcPr>
            <w:tcW w:w="2543" w:type="dxa"/>
            <w:vAlign w:val="center"/>
          </w:tcPr>
          <w:p>
            <w:pPr>
              <w:pStyle w:val="128"/>
              <w:spacing w:before="60" w:after="60"/>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pPr>
              <w:rPr>
                <w:rFonts w:ascii="Arial"/>
              </w:rPr>
            </w:p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02"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4133" w:type="dxa"/>
            <w:gridSpan w:val="3"/>
          </w:tcPr>
          <w:p>
            <w:pPr>
              <w:spacing w:before="207" w:line="219" w:lineRule="auto"/>
              <w:ind w:firstLine="630" w:firstLineChars="300"/>
              <w:rPr>
                <w:rFonts w:ascii="宋体" w:hAnsi="宋体" w:eastAsia="宋体" w:cs="宋体"/>
                <w:szCs w:val="21"/>
              </w:rPr>
            </w:pPr>
            <w:r>
              <w:rPr>
                <w:rFonts w:ascii="宋体" w:hAnsi="宋体" w:eastAsia="宋体" w:cs="宋体"/>
                <w:szCs w:val="21"/>
              </w:rPr>
              <w:t>总价合计</w:t>
            </w:r>
            <w:r>
              <w:rPr>
                <w:rFonts w:hint="eastAsia" w:ascii="宋体" w:hAnsi="宋体" w:eastAsia="宋体" w:cs="宋体"/>
                <w:szCs w:val="21"/>
              </w:rPr>
              <w:t>（不含税）</w:t>
            </w:r>
            <w:r>
              <w:rPr>
                <w:rFonts w:ascii="宋体" w:hAnsi="宋体" w:eastAsia="宋体" w:cs="宋体"/>
                <w:szCs w:val="21"/>
              </w:rPr>
              <w:t>￥    元</w:t>
            </w:r>
          </w:p>
        </w:tc>
      </w:tr>
    </w:tbl>
    <w:p>
      <w:pPr>
        <w:spacing w:before="69" w:line="219" w:lineRule="auto"/>
        <w:rPr>
          <w:rFonts w:ascii="宋体" w:hAnsi="宋体" w:eastAsia="宋体" w:cs="宋体"/>
          <w:spacing w:val="-3"/>
          <w:szCs w:val="21"/>
        </w:rPr>
      </w:pPr>
    </w:p>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32" w:type="default"/>
          <w:pgSz w:w="16841" w:h="11907"/>
          <w:pgMar w:top="400" w:right="1500" w:bottom="1184" w:left="1480" w:header="0" w:footer="1022" w:gutter="0"/>
          <w:cols w:space="720" w:num="1"/>
        </w:sectPr>
      </w:pPr>
    </w:p>
    <w:p>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hint="eastAsia" w:ascii="Times New Roman" w:hAnsi="Times New Roman" w:eastAsia="宋体" w:cs="Times New Roman"/>
                <w:spacing w:val="-6"/>
                <w:szCs w:val="21"/>
              </w:rPr>
              <w:t>-</w:t>
            </w:r>
            <w:r>
              <w:rPr>
                <w:rFonts w:ascii="Times New Roman" w:hAnsi="Times New Roman" w:eastAsia="Times New Roman" w:cs="Times New Roman"/>
                <w:spacing w:val="-11"/>
                <w:szCs w:val="21"/>
              </w:rPr>
              <w:t xml:space="preserve">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hint="eastAsia" w:ascii="宋体" w:hAnsi="宋体" w:eastAsia="宋体" w:cs="宋体"/>
                <w:szCs w:val="21"/>
              </w:rPr>
              <w:t>5</w:t>
            </w:r>
          </w:p>
        </w:tc>
        <w:tc>
          <w:tcPr>
            <w:tcW w:w="5765" w:type="dxa"/>
          </w:tcPr>
          <w:p>
            <w:pPr>
              <w:spacing w:before="265" w:line="222" w:lineRule="auto"/>
              <w:ind w:left="2378" w:firstLine="188" w:firstLineChars="100"/>
              <w:rPr>
                <w:rFonts w:ascii="宋体" w:hAnsi="宋体" w:eastAsia="宋体" w:cs="宋体"/>
                <w:spacing w:val="-11"/>
                <w:szCs w:val="21"/>
              </w:rPr>
            </w:pP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0"/>
      </w:pPr>
    </w:p>
    <w:p>
      <w:pPr>
        <w:pStyle w:val="20"/>
      </w:pP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sectPr>
          <w:footerReference r:id="rId33" w:type="default"/>
          <w:pgSz w:w="16841" w:h="11907"/>
          <w:pgMar w:top="400" w:right="1699" w:bottom="1168" w:left="1481" w:header="0" w:footer="990" w:gutter="0"/>
          <w:cols w:equalWidth="0" w:num="1">
            <w:col w:w="13660"/>
          </w:cols>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rPr>
          <w:rFonts w:ascii="宋体" w:hAnsi="宋体" w:cs="宋体"/>
          <w:szCs w:val="24"/>
        </w:rPr>
      </w:pPr>
    </w:p>
    <w:p>
      <w:pPr>
        <w:rPr>
          <w:rFonts w:ascii="宋体" w:hAnsi="宋体" w:eastAsia="宋体" w:cs="宋体"/>
          <w:sz w:val="24"/>
          <w:szCs w:val="24"/>
        </w:rPr>
      </w:pPr>
    </w:p>
    <w:p>
      <w:pPr>
        <w:rPr>
          <w:rFonts w:ascii="宋体" w:hAnsi="宋体" w:cs="宋体"/>
          <w:szCs w:val="24"/>
        </w:rPr>
      </w:pPr>
    </w:p>
    <w:p/>
    <w:p/>
    <w:p/>
    <w:p/>
    <w:p>
      <w:pPr>
        <w:tabs>
          <w:tab w:val="left" w:pos="1511"/>
        </w:tabs>
        <w:jc w:val="left"/>
        <w:rPr>
          <w:b/>
          <w:bCs/>
        </w:rPr>
        <w:sectPr>
          <w:footerReference r:id="rId34" w:type="default"/>
          <w:pgSz w:w="11906" w:h="16839"/>
          <w:pgMar w:top="1431" w:right="1417" w:bottom="1179" w:left="1304" w:header="850" w:footer="992" w:gutter="0"/>
          <w:cols w:space="720" w:num="1"/>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rPr>
          <w:rFonts w:ascii="宋体" w:hAnsi="Calibri" w:cs="宋体"/>
          <w:color w:val="000000"/>
          <w:sz w:val="28"/>
          <w:szCs w:val="20"/>
        </w:rPr>
      </w:pPr>
    </w:p>
    <w:p>
      <w:pPr>
        <w:rPr>
          <w:rFonts w:ascii="宋体" w:hAnsi="Calibri" w:eastAsia="宋体" w:cs="宋体"/>
          <w:b/>
          <w:bCs/>
          <w:color w:val="000000"/>
          <w:sz w:val="28"/>
          <w:szCs w:val="20"/>
        </w:rPr>
      </w:pPr>
    </w:p>
    <w:p>
      <w:pPr>
        <w:rPr>
          <w:rFonts w:ascii="宋体" w:hAnsi="Calibri" w:cs="宋体"/>
          <w:color w:val="000000"/>
          <w:sz w:val="28"/>
          <w:szCs w:val="20"/>
        </w:rPr>
      </w:pPr>
    </w:p>
    <w:p>
      <w:pPr>
        <w:rPr>
          <w:rFonts w:ascii="宋体" w:hAnsi="Calibri" w:eastAsia="宋体" w:cs="宋体"/>
          <w:b/>
          <w:bCs/>
          <w:color w:val="000000"/>
          <w:sz w:val="28"/>
          <w:szCs w:val="20"/>
        </w:rPr>
      </w:pPr>
    </w:p>
    <w:p>
      <w:pPr>
        <w:outlineLvl w:val="2"/>
        <w:rPr>
          <w:rFonts w:hint="eastAsia" w:ascii="Times New Roman" w:hAnsi="Times New Roman" w:eastAsia="宋体" w:cs="Times New Roman"/>
          <w:b/>
          <w:bCs/>
          <w:color w:val="000000"/>
          <w:sz w:val="24"/>
          <w:szCs w:val="24"/>
        </w:rPr>
        <w:sectPr>
          <w:pgSz w:w="11906" w:h="16839"/>
          <w:pgMar w:top="1431" w:right="1417" w:bottom="1179" w:left="1304" w:header="850" w:footer="992" w:gutter="0"/>
          <w:cols w:space="720" w:num="1"/>
        </w:sectPr>
      </w:pPr>
    </w:p>
    <w:p>
      <w:pPr>
        <w:outlineLvl w:val="2"/>
        <w:rPr>
          <w:rFonts w:ascii="Calibri" w:hAnsi="Calibri" w:eastAsia="宋体" w:cs="Times New Roman"/>
          <w:szCs w:val="20"/>
        </w:rPr>
      </w:pP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2</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Times New Roman"/>
                <w:b/>
                <w:bCs/>
                <w:color w:val="000000"/>
                <w:sz w:val="24"/>
                <w:szCs w:val="24"/>
                <w:u w:val="single"/>
              </w:rPr>
              <w:t>中国重汽集团济南动力有限公司</w:t>
            </w:r>
            <w:r>
              <w:rPr>
                <w:rFonts w:hint="eastAsia" w:ascii="宋体" w:hAnsi="宋体" w:eastAsia="宋体" w:cs="Times New Roman"/>
                <w:b/>
                <w:bCs/>
                <w:color w:val="000000"/>
                <w:sz w:val="24"/>
                <w:szCs w:val="24"/>
                <w:u w:val="single"/>
                <w:lang w:val="en-US" w:eastAsia="zh-CN"/>
              </w:rPr>
              <w:t>桌面HIL台架</w:t>
            </w:r>
            <w:r>
              <w:rPr>
                <w:rFonts w:hint="eastAsia" w:ascii="宋体" w:hAnsi="宋体" w:eastAsia="宋体" w:cs="Times New Roman"/>
                <w:b/>
                <w:bCs/>
                <w:color w:val="000000"/>
                <w:sz w:val="24"/>
                <w:szCs w:val="24"/>
                <w:u w:val="single"/>
              </w:rPr>
              <w:t>招标项目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0"/>
      </w:pPr>
    </w:p>
    <w:p/>
    <w:p>
      <w:pPr>
        <w:pStyle w:val="20"/>
        <w:rPr>
          <w:rFonts w:hAnsi="Calibri" w:eastAsia="宋体" w:cs="宋体"/>
          <w:b/>
          <w:bCs/>
          <w:color w:val="000000"/>
          <w:sz w:val="28"/>
          <w:szCs w:val="20"/>
        </w:rPr>
      </w:pPr>
    </w:p>
    <w:p>
      <w:pPr>
        <w:pStyle w:val="5"/>
        <w:sectPr>
          <w:pgSz w:w="11906" w:h="16839"/>
          <w:pgMar w:top="1431" w:right="1417" w:bottom="1179" w:left="1304" w:header="850" w:footer="992" w:gutter="0"/>
          <w:cols w:space="720" w:num="1"/>
        </w:sectPr>
      </w:pPr>
    </w:p>
    <w:p/>
    <w:p>
      <w:pPr>
        <w:jc w:val="cente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附件14  技术</w:t>
      </w:r>
      <w:r>
        <w:rPr>
          <w:rFonts w:hint="eastAsia" w:ascii="Times New Roman" w:hAnsi="Times New Roman" w:eastAsia="宋体" w:cs="Times New Roman"/>
          <w:b/>
          <w:bCs/>
          <w:color w:val="000000"/>
          <w:sz w:val="24"/>
          <w:szCs w:val="24"/>
          <w:lang w:val="en-US" w:eastAsia="zh-CN"/>
        </w:rPr>
        <w:t>标评审</w:t>
      </w:r>
      <w:r>
        <w:rPr>
          <w:rFonts w:hint="eastAsia" w:ascii="Times New Roman" w:hAnsi="Times New Roman" w:eastAsia="宋体" w:cs="Times New Roman"/>
          <w:b/>
          <w:bCs/>
          <w:color w:val="000000"/>
          <w:sz w:val="24"/>
          <w:szCs w:val="24"/>
        </w:rPr>
        <w:t>表（</w:t>
      </w:r>
      <w:r>
        <w:rPr>
          <w:rFonts w:hint="eastAsia" w:ascii="Times New Roman" w:hAnsi="Times New Roman" w:eastAsia="宋体" w:cs="Times New Roman"/>
          <w:b/>
          <w:bCs/>
          <w:color w:val="000000"/>
          <w:sz w:val="24"/>
          <w:szCs w:val="24"/>
          <w:lang w:val="en-US" w:eastAsia="zh-CN"/>
        </w:rPr>
        <w:t>5</w:t>
      </w:r>
      <w:r>
        <w:rPr>
          <w:rFonts w:hint="eastAsia" w:ascii="Times New Roman" w:hAnsi="Times New Roman" w:eastAsia="宋体" w:cs="Times New Roman"/>
          <w:b/>
          <w:bCs/>
          <w:color w:val="000000"/>
          <w:sz w:val="24"/>
          <w:szCs w:val="24"/>
        </w:rPr>
        <w:t>0分）</w:t>
      </w:r>
    </w:p>
    <w:tbl>
      <w:tblPr>
        <w:tblStyle w:val="39"/>
        <w:tblW w:w="137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750"/>
        <w:gridCol w:w="533"/>
        <w:gridCol w:w="3100"/>
        <w:gridCol w:w="817"/>
        <w:gridCol w:w="7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730"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评价类型</w:t>
            </w:r>
          </w:p>
        </w:tc>
        <w:tc>
          <w:tcPr>
            <w:tcW w:w="750" w:type="dxa"/>
            <w:vAlign w:val="center"/>
          </w:tcPr>
          <w:p>
            <w:pPr>
              <w:tabs>
                <w:tab w:val="left" w:pos="13965"/>
              </w:tabs>
              <w:spacing w:line="360" w:lineRule="auto"/>
              <w:ind w:right="-6"/>
              <w:jc w:val="center"/>
              <w:rPr>
                <w:rFonts w:hint="eastAsia" w:ascii="宋体" w:hAnsi="宋体" w:eastAsia="宋体" w:cs="Times New Roman"/>
                <w:b/>
                <w:sz w:val="24"/>
                <w:szCs w:val="24"/>
                <w:highlight w:val="none"/>
                <w:lang w:val="en-US" w:eastAsia="zh-CN"/>
              </w:rPr>
            </w:pPr>
            <w:r>
              <w:rPr>
                <w:rFonts w:hint="eastAsia" w:ascii="宋体" w:hAnsi="宋体" w:eastAsia="宋体" w:cs="Times New Roman"/>
                <w:b/>
                <w:sz w:val="24"/>
                <w:szCs w:val="24"/>
                <w:highlight w:val="none"/>
                <w:lang w:val="en-US" w:eastAsia="zh-CN"/>
              </w:rPr>
              <w:t>评审内容</w:t>
            </w:r>
          </w:p>
        </w:tc>
        <w:tc>
          <w:tcPr>
            <w:tcW w:w="533"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序号</w:t>
            </w:r>
          </w:p>
        </w:tc>
        <w:tc>
          <w:tcPr>
            <w:tcW w:w="3100"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内</w:t>
            </w:r>
            <w:r>
              <w:rPr>
                <w:rFonts w:ascii="宋体" w:hAnsi="宋体" w:eastAsia="宋体" w:cs="Times New Roman"/>
                <w:b/>
                <w:sz w:val="24"/>
                <w:szCs w:val="24"/>
                <w:highlight w:val="none"/>
              </w:rPr>
              <w:t xml:space="preserve">   </w:t>
            </w:r>
            <w:r>
              <w:rPr>
                <w:rFonts w:hint="eastAsia" w:ascii="宋体" w:hAnsi="宋体" w:eastAsia="宋体" w:cs="Times New Roman"/>
                <w:b/>
                <w:sz w:val="24"/>
                <w:szCs w:val="24"/>
                <w:highlight w:val="none"/>
              </w:rPr>
              <w:t>容</w:t>
            </w:r>
          </w:p>
        </w:tc>
        <w:tc>
          <w:tcPr>
            <w:tcW w:w="817"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标准分</w:t>
            </w:r>
          </w:p>
        </w:tc>
        <w:tc>
          <w:tcPr>
            <w:tcW w:w="7781" w:type="dxa"/>
            <w:vAlign w:val="center"/>
          </w:tcPr>
          <w:p>
            <w:pPr>
              <w:tabs>
                <w:tab w:val="left" w:pos="13965"/>
              </w:tabs>
              <w:spacing w:line="360" w:lineRule="auto"/>
              <w:ind w:right="-6"/>
              <w:jc w:val="center"/>
              <w:rPr>
                <w:rFonts w:ascii="宋体" w:hAnsi="Times New Roman" w:eastAsia="宋体" w:cs="Times New Roman"/>
                <w:b/>
                <w:sz w:val="24"/>
                <w:szCs w:val="24"/>
                <w:highlight w:val="none"/>
              </w:rPr>
            </w:pPr>
            <w:r>
              <w:rPr>
                <w:rFonts w:hint="eastAsia" w:ascii="宋体" w:hAnsi="宋体" w:eastAsia="宋体" w:cs="Times New Roman"/>
                <w:b/>
                <w:sz w:val="24"/>
                <w:szCs w:val="24"/>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730" w:type="dxa"/>
            <w:vMerge w:val="restart"/>
            <w:vAlign w:val="center"/>
          </w:tcPr>
          <w:p>
            <w:pPr>
              <w:tabs>
                <w:tab w:val="left" w:pos="13965"/>
              </w:tabs>
              <w:spacing w:line="240" w:lineRule="auto"/>
              <w:ind w:right="-6"/>
              <w:jc w:val="center"/>
              <w:rPr>
                <w:rFonts w:ascii="宋体" w:hAnsi="Times New Roman" w:eastAsia="宋体" w:cs="Times New Roman"/>
                <w:sz w:val="24"/>
                <w:szCs w:val="24"/>
                <w:highlight w:val="none"/>
              </w:rPr>
            </w:pPr>
            <w:r>
              <w:rPr>
                <w:rFonts w:hint="eastAsia" w:ascii="宋体" w:hAnsi="宋体" w:eastAsia="宋体" w:cs="Times New Roman"/>
                <w:sz w:val="24"/>
                <w:szCs w:val="24"/>
                <w:highlight w:val="none"/>
              </w:rPr>
              <w:t>技术</w:t>
            </w:r>
          </w:p>
          <w:p>
            <w:pPr>
              <w:tabs>
                <w:tab w:val="left" w:pos="13965"/>
              </w:tabs>
              <w:spacing w:line="240" w:lineRule="auto"/>
              <w:ind w:right="-6"/>
              <w:jc w:val="center"/>
              <w:rPr>
                <w:rFonts w:ascii="宋体" w:hAnsi="Times New Roman" w:eastAsia="宋体" w:cs="Times New Roman"/>
                <w:sz w:val="24"/>
                <w:szCs w:val="24"/>
                <w:highlight w:val="none"/>
              </w:rPr>
            </w:pPr>
            <w:r>
              <w:rPr>
                <w:rFonts w:hint="eastAsia" w:ascii="宋体" w:hAnsi="宋体" w:eastAsia="宋体" w:cs="Times New Roman"/>
                <w:sz w:val="24"/>
                <w:szCs w:val="24"/>
                <w:highlight w:val="none"/>
                <w:lang w:val="en-US" w:eastAsia="zh-CN"/>
              </w:rPr>
              <w:t>10</w:t>
            </w:r>
            <w:r>
              <w:rPr>
                <w:rFonts w:ascii="宋体" w:hAnsi="宋体" w:eastAsia="宋体" w:cs="Times New Roman"/>
                <w:sz w:val="24"/>
                <w:szCs w:val="24"/>
                <w:highlight w:val="none"/>
              </w:rPr>
              <w:t>0</w:t>
            </w:r>
            <w:r>
              <w:rPr>
                <w:rFonts w:hint="eastAsia" w:ascii="宋体" w:hAnsi="宋体" w:eastAsia="宋体" w:cs="Times New Roman"/>
                <w:sz w:val="24"/>
                <w:szCs w:val="24"/>
                <w:highlight w:val="none"/>
              </w:rPr>
              <w:t>分</w:t>
            </w:r>
          </w:p>
        </w:tc>
        <w:tc>
          <w:tcPr>
            <w:tcW w:w="750" w:type="dxa"/>
            <w:vAlign w:val="center"/>
          </w:tcPr>
          <w:p>
            <w:pPr>
              <w:tabs>
                <w:tab w:val="left" w:pos="13965"/>
              </w:tabs>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业绩</w:t>
            </w:r>
          </w:p>
        </w:tc>
        <w:tc>
          <w:tcPr>
            <w:tcW w:w="533" w:type="dxa"/>
            <w:vAlign w:val="center"/>
          </w:tcPr>
          <w:p>
            <w:pPr>
              <w:tabs>
                <w:tab w:val="left" w:pos="13965"/>
              </w:tabs>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1</w:t>
            </w:r>
          </w:p>
        </w:tc>
        <w:tc>
          <w:tcPr>
            <w:tcW w:w="3100"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sz w:val="24"/>
                <w:szCs w:val="24"/>
                <w:highlight w:val="none"/>
              </w:rPr>
              <w:t>设备制造商同类型项目业绩</w:t>
            </w:r>
          </w:p>
        </w:tc>
        <w:tc>
          <w:tcPr>
            <w:tcW w:w="817" w:type="dxa"/>
            <w:vAlign w:val="center"/>
          </w:tcPr>
          <w:p>
            <w:pPr>
              <w:tabs>
                <w:tab w:val="left" w:pos="13965"/>
              </w:tabs>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3</w:t>
            </w:r>
          </w:p>
        </w:tc>
        <w:tc>
          <w:tcPr>
            <w:tcW w:w="7781" w:type="dxa"/>
            <w:vAlign w:val="center"/>
          </w:tcPr>
          <w:p>
            <w:pPr>
              <w:spacing w:line="240" w:lineRule="auto"/>
              <w:rPr>
                <w:rFonts w:ascii="宋体" w:hAnsi="宋体"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分（时间以签订日期为准）。</w:t>
            </w:r>
          </w:p>
          <w:p>
            <w:pPr>
              <w:spacing w:line="240" w:lineRule="auto"/>
              <w:rPr>
                <w:highlight w:val="none"/>
              </w:rPr>
            </w:pPr>
            <w:r>
              <w:rPr>
                <w:rFonts w:hint="eastAsia" w:ascii="宋体" w:hAnsi="宋体" w:eastAsia="宋体" w:cs="Times New Roman"/>
                <w:bCs/>
                <w:sz w:val="24"/>
                <w:szCs w:val="24"/>
                <w:highlight w:val="none"/>
              </w:rPr>
              <w:t>投标人在2019年1月1日以来在中国与本标同类规格产品的业绩，以合同复印件加盖公章为准（须有客户联系方式及联系人以供招标人核实确认）。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spacing w:line="240" w:lineRule="auto"/>
              <w:jc w:val="center"/>
              <w:rPr>
                <w:rFonts w:ascii="宋体" w:hAnsi="Times New Roman" w:eastAsia="宋体" w:cs="Times New Roman"/>
                <w:sz w:val="24"/>
                <w:szCs w:val="24"/>
                <w:highlight w:val="none"/>
              </w:rPr>
            </w:pPr>
          </w:p>
        </w:tc>
        <w:tc>
          <w:tcPr>
            <w:tcW w:w="750" w:type="dxa"/>
            <w:vMerge w:val="restart"/>
            <w:vAlign w:val="center"/>
          </w:tcPr>
          <w:p>
            <w:pPr>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产品技术</w:t>
            </w: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2</w:t>
            </w:r>
          </w:p>
        </w:tc>
        <w:tc>
          <w:tcPr>
            <w:tcW w:w="3100"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设备制造商装备制造能力、生产设备、加工工艺、完善程度</w:t>
            </w:r>
          </w:p>
        </w:tc>
        <w:tc>
          <w:tcPr>
            <w:tcW w:w="817"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3</w:t>
            </w:r>
          </w:p>
        </w:tc>
        <w:tc>
          <w:tcPr>
            <w:tcW w:w="7781"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Times New Roman" w:eastAsia="宋体" w:cs="Times New Roman"/>
                <w:bCs/>
                <w:sz w:val="24"/>
                <w:szCs w:val="24"/>
                <w:highlight w:val="none"/>
                <w:lang w:val="en-US" w:eastAsia="zh-CN"/>
              </w:rPr>
              <w:t>2</w:t>
            </w:r>
            <w:r>
              <w:rPr>
                <w:rFonts w:hint="eastAsia" w:ascii="宋体" w:hAnsi="宋体" w:eastAsia="宋体" w:cs="Times New Roman"/>
                <w:bCs/>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spacing w:line="240" w:lineRule="auto"/>
              <w:jc w:val="center"/>
              <w:rPr>
                <w:rFonts w:ascii="宋体" w:hAnsi="Times New Roman" w:eastAsia="宋体" w:cs="Times New Roman"/>
                <w:sz w:val="24"/>
                <w:szCs w:val="24"/>
                <w:highlight w:val="none"/>
              </w:rPr>
            </w:pPr>
          </w:p>
        </w:tc>
        <w:tc>
          <w:tcPr>
            <w:tcW w:w="750" w:type="dxa"/>
            <w:vMerge w:val="continue"/>
            <w:vAlign w:val="center"/>
          </w:tcPr>
          <w:p>
            <w:pPr>
              <w:spacing w:line="240" w:lineRule="auto"/>
              <w:jc w:val="center"/>
              <w:rPr>
                <w:rFonts w:ascii="宋体" w:hAnsi="宋体" w:eastAsia="宋体" w:cs="Times New Roman"/>
                <w:sz w:val="24"/>
                <w:szCs w:val="24"/>
                <w:highlight w:val="none"/>
              </w:rPr>
            </w:pPr>
          </w:p>
        </w:tc>
        <w:tc>
          <w:tcPr>
            <w:tcW w:w="533" w:type="dxa"/>
            <w:vAlign w:val="center"/>
          </w:tcPr>
          <w:p>
            <w:pPr>
              <w:spacing w:line="240" w:lineRule="auto"/>
              <w:jc w:val="center"/>
              <w:rPr>
                <w:rFonts w:hint="eastAsia" w:ascii="宋体" w:hAnsi="宋体" w:eastAsia="宋体" w:cs="Times New Roman"/>
                <w:kern w:val="2"/>
                <w:sz w:val="24"/>
                <w:szCs w:val="24"/>
                <w:highlight w:val="none"/>
                <w:lang w:val="en-US" w:eastAsia="zh-CN" w:bidi="ar-SA"/>
              </w:rPr>
            </w:pPr>
            <w:r>
              <w:rPr>
                <w:rFonts w:hint="eastAsia" w:ascii="宋体" w:hAnsi="宋体" w:eastAsia="宋体" w:cs="Times New Roman"/>
                <w:sz w:val="24"/>
                <w:szCs w:val="24"/>
                <w:highlight w:val="none"/>
                <w:lang w:val="en-US" w:eastAsia="zh-CN"/>
              </w:rPr>
              <w:t>3</w:t>
            </w:r>
          </w:p>
        </w:tc>
        <w:tc>
          <w:tcPr>
            <w:tcW w:w="3100" w:type="dxa"/>
            <w:vAlign w:val="center"/>
          </w:tcPr>
          <w:p>
            <w:pPr>
              <w:spacing w:line="240" w:lineRule="auto"/>
              <w:rPr>
                <w:rFonts w:hint="eastAsia" w:ascii="宋体" w:hAnsi="Times New Roman" w:eastAsia="宋体" w:cs="Times New Roman"/>
                <w:bCs/>
                <w:kern w:val="2"/>
                <w:sz w:val="24"/>
                <w:szCs w:val="24"/>
                <w:highlight w:val="none"/>
                <w:lang w:val="en-US" w:eastAsia="zh-CN" w:bidi="ar-SA"/>
              </w:rPr>
            </w:pPr>
            <w:r>
              <w:rPr>
                <w:rFonts w:hint="eastAsia" w:ascii="宋体" w:hAnsi="宋体" w:eastAsia="宋体" w:cs="Times New Roman"/>
                <w:bCs/>
                <w:sz w:val="24"/>
                <w:szCs w:val="24"/>
                <w:highlight w:val="none"/>
              </w:rPr>
              <w:t>产品方案技术先进、各系统完善、性能可靠，设备主要核心部件，具备自身技术优势</w:t>
            </w:r>
          </w:p>
        </w:tc>
        <w:tc>
          <w:tcPr>
            <w:tcW w:w="817" w:type="dxa"/>
            <w:vAlign w:val="center"/>
          </w:tcPr>
          <w:p>
            <w:pPr>
              <w:spacing w:line="240" w:lineRule="auto"/>
              <w:jc w:val="center"/>
              <w:rPr>
                <w:rFonts w:hint="default" w:ascii="宋体" w:hAnsi="宋体" w:eastAsia="宋体" w:cs="Times New Roman"/>
                <w:kern w:val="2"/>
                <w:sz w:val="24"/>
                <w:szCs w:val="24"/>
                <w:highlight w:val="none"/>
                <w:lang w:val="en-US" w:eastAsia="zh-CN" w:bidi="ar-SA"/>
              </w:rPr>
            </w:pPr>
            <w:r>
              <w:rPr>
                <w:rFonts w:hint="eastAsia" w:ascii="宋体" w:hAnsi="宋体" w:eastAsia="宋体" w:cs="Times New Roman"/>
                <w:sz w:val="24"/>
                <w:szCs w:val="24"/>
                <w:highlight w:val="none"/>
                <w:lang w:val="en-US" w:eastAsia="zh-CN"/>
              </w:rPr>
              <w:t>25</w:t>
            </w:r>
          </w:p>
        </w:tc>
        <w:tc>
          <w:tcPr>
            <w:tcW w:w="7781" w:type="dxa"/>
            <w:vAlign w:val="center"/>
          </w:tcPr>
          <w:p>
            <w:pPr>
              <w:spacing w:line="240" w:lineRule="auto"/>
              <w:rPr>
                <w:rFonts w:ascii="宋体" w:hAnsi="宋体" w:eastAsia="宋体" w:cs="Times New Roman"/>
                <w:sz w:val="24"/>
                <w:szCs w:val="24"/>
                <w:highlight w:val="none"/>
              </w:rPr>
            </w:pPr>
            <w:r>
              <w:rPr>
                <w:rFonts w:hint="eastAsia" w:ascii="宋体" w:hAnsi="宋体" w:eastAsia="宋体" w:cs="Times New Roman"/>
                <w:sz w:val="24"/>
                <w:szCs w:val="24"/>
                <w:highlight w:val="none"/>
              </w:rPr>
              <w:t>以下各项由评标委员会成员独立进行客观、公正的评价打分。</w:t>
            </w:r>
            <w:r>
              <w:rPr>
                <w:rFonts w:ascii="宋体" w:hAnsi="宋体" w:eastAsia="宋体" w:cs="Times New Roman"/>
                <w:sz w:val="24"/>
                <w:szCs w:val="24"/>
                <w:highlight w:val="none"/>
              </w:rPr>
              <w:t xml:space="preserve"> </w:t>
            </w:r>
          </w:p>
          <w:p>
            <w:pPr>
              <w:numPr>
                <w:ilvl w:val="0"/>
                <w:numId w:val="0"/>
              </w:numPr>
              <w:spacing w:line="240" w:lineRule="auto"/>
              <w:ind w:leftChars="0"/>
              <w:rPr>
                <w:rFonts w:ascii="宋体" w:hAnsi="Times New Roman" w:eastAsia="宋体" w:cs="Times New Roman"/>
                <w:sz w:val="24"/>
                <w:szCs w:val="24"/>
                <w:highlight w:val="none"/>
              </w:rPr>
            </w:pPr>
            <w:r>
              <w:rPr>
                <w:rFonts w:hint="eastAsia" w:ascii="宋体" w:hAnsi="宋体" w:eastAsia="宋体" w:cs="Times New Roman"/>
                <w:bCs/>
                <w:sz w:val="24"/>
                <w:szCs w:val="24"/>
                <w:highlight w:val="none"/>
                <w:lang w:val="en-US" w:eastAsia="zh-CN"/>
              </w:rPr>
              <w:t>①</w:t>
            </w:r>
            <w:r>
              <w:rPr>
                <w:rFonts w:hint="eastAsia" w:ascii="宋体" w:hAnsi="宋体" w:eastAsia="宋体" w:cs="Times New Roman"/>
                <w:bCs/>
                <w:sz w:val="24"/>
                <w:szCs w:val="24"/>
                <w:highlight w:val="none"/>
              </w:rPr>
              <w:t>定制系统方案已到达招标要求，设备主要核心部件，具备自身技术优势，打分</w:t>
            </w:r>
            <w:r>
              <w:rPr>
                <w:rFonts w:ascii="宋体" w:hAnsi="宋体" w:eastAsia="宋体" w:cs="Times New Roman"/>
                <w:bCs/>
                <w:sz w:val="24"/>
                <w:szCs w:val="24"/>
                <w:highlight w:val="none"/>
              </w:rPr>
              <w:t>0-</w:t>
            </w:r>
            <w:r>
              <w:rPr>
                <w:rFonts w:hint="eastAsia" w:ascii="宋体" w:hAnsi="宋体" w:eastAsia="宋体" w:cs="Times New Roman"/>
                <w:bCs/>
                <w:sz w:val="24"/>
                <w:szCs w:val="24"/>
                <w:highlight w:val="none"/>
                <w:lang w:val="en-US" w:eastAsia="zh-CN"/>
              </w:rPr>
              <w:t>16</w:t>
            </w:r>
            <w:r>
              <w:rPr>
                <w:rFonts w:hint="eastAsia" w:ascii="宋体" w:hAnsi="宋体" w:eastAsia="宋体" w:cs="Times New Roman"/>
                <w:bCs/>
                <w:sz w:val="24"/>
                <w:szCs w:val="24"/>
                <w:highlight w:val="none"/>
              </w:rPr>
              <w:t>分。</w:t>
            </w:r>
          </w:p>
          <w:p>
            <w:pPr>
              <w:numPr>
                <w:ilvl w:val="0"/>
                <w:numId w:val="0"/>
              </w:numPr>
              <w:spacing w:line="240" w:lineRule="auto"/>
              <w:ind w:leftChars="0"/>
              <w:rPr>
                <w:rFonts w:ascii="宋体" w:hAnsi="Times New Roman" w:eastAsia="宋体" w:cs="Times New Roman"/>
                <w:sz w:val="24"/>
                <w:szCs w:val="24"/>
                <w:highlight w:val="none"/>
              </w:rPr>
            </w:pPr>
            <w:r>
              <w:rPr>
                <w:rFonts w:hint="eastAsia" w:ascii="宋体" w:hAnsi="宋体" w:eastAsia="宋体" w:cs="Times New Roman"/>
                <w:bCs/>
                <w:sz w:val="24"/>
                <w:szCs w:val="24"/>
                <w:highlight w:val="none"/>
                <w:lang w:val="en-US" w:eastAsia="zh-CN"/>
              </w:rPr>
              <w:t>②</w:t>
            </w:r>
            <w:r>
              <w:rPr>
                <w:rFonts w:hint="eastAsia" w:ascii="宋体" w:hAnsi="宋体" w:eastAsia="宋体" w:cs="Times New Roman"/>
                <w:bCs/>
                <w:sz w:val="24"/>
                <w:szCs w:val="24"/>
                <w:highlight w:val="none"/>
              </w:rPr>
              <w:t>系统配置齐全，其精度、参数、技术水平、可靠性等优势明显，打分</w:t>
            </w:r>
            <w:r>
              <w:rPr>
                <w:rFonts w:ascii="宋体" w:hAnsi="宋体" w:eastAsia="宋体" w:cs="Times New Roman"/>
                <w:bCs/>
                <w:sz w:val="24"/>
                <w:szCs w:val="24"/>
                <w:highlight w:val="none"/>
              </w:rPr>
              <w:t>0-</w:t>
            </w:r>
            <w:r>
              <w:rPr>
                <w:rFonts w:hint="eastAsia" w:ascii="宋体" w:hAnsi="宋体" w:eastAsia="宋体" w:cs="Times New Roman"/>
                <w:bCs/>
                <w:sz w:val="24"/>
                <w:szCs w:val="24"/>
                <w:highlight w:val="none"/>
                <w:lang w:val="en-US" w:eastAsia="zh-CN"/>
              </w:rPr>
              <w:t>16</w:t>
            </w:r>
            <w:r>
              <w:rPr>
                <w:rFonts w:hint="eastAsia" w:ascii="宋体" w:hAnsi="宋体" w:eastAsia="宋体" w:cs="Times New Roman"/>
                <w:bCs/>
                <w:sz w:val="24"/>
                <w:szCs w:val="24"/>
                <w:highlight w:val="none"/>
              </w:rPr>
              <w:t>分</w:t>
            </w:r>
            <w:r>
              <w:rPr>
                <w:rFonts w:hint="eastAsia" w:ascii="宋体" w:hAnsi="宋体" w:eastAsia="宋体" w:cs="Times New Roman"/>
                <w:sz w:val="24"/>
                <w:szCs w:val="24"/>
                <w:highlight w:val="none"/>
              </w:rPr>
              <w:t>。</w:t>
            </w:r>
          </w:p>
          <w:p>
            <w:pPr>
              <w:numPr>
                <w:ilvl w:val="0"/>
                <w:numId w:val="0"/>
              </w:numPr>
              <w:spacing w:line="240" w:lineRule="auto"/>
              <w:ind w:leftChars="0"/>
              <w:rPr>
                <w:rFonts w:ascii="宋体" w:hAnsi="Times New Roman" w:eastAsia="宋体" w:cs="Times New Roman"/>
                <w:sz w:val="24"/>
                <w:szCs w:val="24"/>
                <w:highlight w:val="none"/>
              </w:rPr>
            </w:pPr>
            <w:r>
              <w:rPr>
                <w:rFonts w:hint="eastAsia" w:ascii="宋体" w:hAnsi="宋体" w:eastAsia="宋体" w:cs="Times New Roman"/>
                <w:sz w:val="24"/>
                <w:szCs w:val="24"/>
                <w:highlight w:val="none"/>
                <w:lang w:val="en-US" w:eastAsia="zh-CN"/>
              </w:rPr>
              <w:t>③</w:t>
            </w:r>
            <w:r>
              <w:rPr>
                <w:rFonts w:hint="eastAsia" w:ascii="宋体" w:hAnsi="宋体" w:eastAsia="宋体" w:cs="Times New Roman"/>
                <w:sz w:val="24"/>
                <w:szCs w:val="24"/>
                <w:highlight w:val="none"/>
              </w:rPr>
              <w:t>操作灵活方便，系统开放程度高，</w:t>
            </w:r>
            <w:r>
              <w:rPr>
                <w:rFonts w:hint="eastAsia" w:ascii="宋体" w:hAnsi="宋体" w:eastAsia="宋体" w:cs="Times New Roman"/>
                <w:bCs/>
                <w:sz w:val="24"/>
                <w:szCs w:val="24"/>
                <w:highlight w:val="none"/>
              </w:rPr>
              <w:t>打分</w:t>
            </w:r>
            <w:r>
              <w:rPr>
                <w:rFonts w:ascii="宋体" w:hAnsi="宋体" w:eastAsia="宋体" w:cs="Times New Roman"/>
                <w:bCs/>
                <w:sz w:val="24"/>
                <w:szCs w:val="24"/>
                <w:highlight w:val="none"/>
              </w:rPr>
              <w:t>0-</w:t>
            </w:r>
            <w:r>
              <w:rPr>
                <w:rFonts w:hint="eastAsia" w:ascii="宋体" w:hAnsi="宋体" w:eastAsia="宋体" w:cs="Times New Roman"/>
                <w:bCs/>
                <w:sz w:val="24"/>
                <w:szCs w:val="24"/>
                <w:highlight w:val="none"/>
                <w:lang w:val="en-US" w:eastAsia="zh-CN"/>
              </w:rPr>
              <w:t>10</w:t>
            </w:r>
            <w:r>
              <w:rPr>
                <w:rFonts w:hint="eastAsia" w:ascii="宋体" w:hAnsi="宋体" w:eastAsia="宋体" w:cs="Times New Roman"/>
                <w:bCs/>
                <w:sz w:val="24"/>
                <w:szCs w:val="24"/>
                <w:highlight w:val="none"/>
              </w:rPr>
              <w:t>分</w:t>
            </w:r>
            <w:r>
              <w:rPr>
                <w:rFonts w:hint="eastAsia" w:ascii="宋体" w:hAnsi="宋体" w:eastAsia="宋体" w:cs="Times New Roman"/>
                <w:sz w:val="24"/>
                <w:szCs w:val="24"/>
                <w:highlight w:val="none"/>
              </w:rPr>
              <w:t>。</w:t>
            </w:r>
          </w:p>
          <w:p>
            <w:pPr>
              <w:numPr>
                <w:ilvl w:val="0"/>
                <w:numId w:val="0"/>
              </w:numPr>
              <w:spacing w:line="240" w:lineRule="auto"/>
              <w:ind w:leftChars="0"/>
              <w:rPr>
                <w:rFonts w:hint="eastAsia" w:ascii="宋体" w:hAnsi="Times New Roman" w:eastAsia="宋体" w:cs="Times New Roman"/>
                <w:kern w:val="2"/>
                <w:sz w:val="24"/>
                <w:szCs w:val="24"/>
                <w:highlight w:val="none"/>
                <w:lang w:val="en-US" w:eastAsia="zh-CN" w:bidi="ar-SA"/>
              </w:rPr>
            </w:pPr>
            <w:r>
              <w:rPr>
                <w:rFonts w:hint="eastAsia" w:ascii="宋体" w:hAnsi="宋体" w:eastAsia="宋体" w:cs="Times New Roman"/>
                <w:sz w:val="24"/>
                <w:szCs w:val="24"/>
                <w:highlight w:val="none"/>
                <w:lang w:val="en-US" w:eastAsia="zh-CN"/>
              </w:rPr>
              <w:t>④</w:t>
            </w:r>
            <w:r>
              <w:rPr>
                <w:rFonts w:hint="eastAsia" w:ascii="宋体" w:hAnsi="宋体" w:eastAsia="宋体" w:cs="Times New Roman"/>
                <w:sz w:val="24"/>
                <w:szCs w:val="24"/>
                <w:highlight w:val="none"/>
              </w:rPr>
              <w:t>综合评价，</w:t>
            </w:r>
            <w:r>
              <w:rPr>
                <w:rFonts w:hint="eastAsia" w:ascii="宋体" w:hAnsi="宋体" w:eastAsia="宋体" w:cs="Times New Roman"/>
                <w:bCs/>
                <w:sz w:val="24"/>
                <w:szCs w:val="24"/>
                <w:highlight w:val="none"/>
              </w:rPr>
              <w:t>打分</w:t>
            </w:r>
            <w:r>
              <w:rPr>
                <w:rFonts w:ascii="宋体" w:hAnsi="宋体" w:eastAsia="宋体" w:cs="Times New Roman"/>
                <w:bCs/>
                <w:sz w:val="24"/>
                <w:szCs w:val="24"/>
                <w:highlight w:val="none"/>
              </w:rPr>
              <w:t>0-</w:t>
            </w:r>
            <w:r>
              <w:rPr>
                <w:rFonts w:hint="eastAsia" w:ascii="宋体" w:hAnsi="宋体" w:eastAsia="宋体" w:cs="Times New Roman"/>
                <w:bCs/>
                <w:sz w:val="24"/>
                <w:szCs w:val="24"/>
                <w:highlight w:val="none"/>
                <w:lang w:val="en-US" w:eastAsia="zh-CN"/>
              </w:rPr>
              <w:t>8</w:t>
            </w:r>
            <w:r>
              <w:rPr>
                <w:rFonts w:hint="eastAsia" w:ascii="宋体" w:hAnsi="宋体" w:eastAsia="宋体" w:cs="Times New Roman"/>
                <w:bCs/>
                <w:sz w:val="24"/>
                <w:szCs w:val="24"/>
                <w:highlight w:val="none"/>
              </w:rPr>
              <w:t>分</w:t>
            </w:r>
            <w:r>
              <w:rPr>
                <w:rFonts w:hint="eastAsia" w:ascii="宋体" w:hAnsi="宋体" w:eastAsia="宋体" w:cs="Times New Roman"/>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spacing w:line="240" w:lineRule="auto"/>
              <w:jc w:val="center"/>
              <w:rPr>
                <w:rFonts w:ascii="宋体" w:hAnsi="Times New Roman" w:eastAsia="宋体" w:cs="Times New Roman"/>
                <w:sz w:val="24"/>
                <w:szCs w:val="24"/>
                <w:highlight w:val="none"/>
              </w:rPr>
            </w:pPr>
          </w:p>
        </w:tc>
        <w:tc>
          <w:tcPr>
            <w:tcW w:w="750" w:type="dxa"/>
            <w:vAlign w:val="center"/>
          </w:tcPr>
          <w:p>
            <w:pPr>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答疑</w:t>
            </w:r>
          </w:p>
        </w:tc>
        <w:tc>
          <w:tcPr>
            <w:tcW w:w="533"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4</w:t>
            </w:r>
          </w:p>
        </w:tc>
        <w:tc>
          <w:tcPr>
            <w:tcW w:w="3100"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现场答疑</w:t>
            </w:r>
          </w:p>
        </w:tc>
        <w:tc>
          <w:tcPr>
            <w:tcW w:w="817"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4</w:t>
            </w:r>
          </w:p>
        </w:tc>
        <w:tc>
          <w:tcPr>
            <w:tcW w:w="7781"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sz w:val="24"/>
                <w:szCs w:val="24"/>
                <w:highlight w:val="none"/>
              </w:rPr>
              <w:t>投标人代表对方案、技术优势的讲解，以及就该项目难点回答评标专家现场提问，打分0-</w:t>
            </w:r>
            <w:r>
              <w:rPr>
                <w:rFonts w:hint="eastAsia" w:ascii="宋体" w:hAnsi="宋体" w:eastAsia="宋体" w:cs="Times New Roman"/>
                <w:sz w:val="24"/>
                <w:szCs w:val="24"/>
                <w:highlight w:val="none"/>
                <w:lang w:val="en-US" w:eastAsia="zh-CN"/>
              </w:rPr>
              <w:t>8</w:t>
            </w:r>
            <w:r>
              <w:rPr>
                <w:rFonts w:hint="eastAsia" w:ascii="宋体" w:hAnsi="宋体" w:eastAsia="宋体" w:cs="Times New Roman"/>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730" w:type="dxa"/>
            <w:vMerge w:val="continue"/>
            <w:vAlign w:val="center"/>
          </w:tcPr>
          <w:p>
            <w:pPr>
              <w:spacing w:line="240" w:lineRule="auto"/>
              <w:jc w:val="center"/>
              <w:rPr>
                <w:rFonts w:ascii="宋体" w:hAnsi="Times New Roman" w:eastAsia="宋体" w:cs="Times New Roman"/>
                <w:sz w:val="24"/>
                <w:szCs w:val="24"/>
              </w:rPr>
            </w:pPr>
          </w:p>
        </w:tc>
        <w:tc>
          <w:tcPr>
            <w:tcW w:w="750" w:type="dxa"/>
            <w:vAlign w:val="center"/>
          </w:tcPr>
          <w:p>
            <w:pPr>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技术偏离</w:t>
            </w: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5</w:t>
            </w:r>
          </w:p>
        </w:tc>
        <w:tc>
          <w:tcPr>
            <w:tcW w:w="3100"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bCs/>
                <w:sz w:val="24"/>
                <w:szCs w:val="24"/>
                <w:highlight w:val="none"/>
              </w:rPr>
              <w:t>技术偏离</w:t>
            </w:r>
          </w:p>
        </w:tc>
        <w:tc>
          <w:tcPr>
            <w:tcW w:w="817" w:type="dxa"/>
            <w:vAlign w:val="center"/>
          </w:tcPr>
          <w:p>
            <w:pPr>
              <w:spacing w:line="240" w:lineRule="auto"/>
              <w:jc w:val="center"/>
              <w:rPr>
                <w:rFonts w:hint="default" w:ascii="宋体" w:hAnsi="宋体" w:eastAsia="宋体" w:cs="Times New Roman"/>
                <w:sz w:val="24"/>
                <w:szCs w:val="24"/>
                <w:highlight w:val="none"/>
                <w:lang w:val="en-US" w:eastAsia="zh-CN"/>
              </w:rPr>
            </w:pPr>
            <w:r>
              <w:rPr>
                <w:rFonts w:hint="eastAsia" w:ascii="宋体" w:hAnsi="宋体" w:eastAsia="宋体" w:cs="Times New Roman"/>
                <w:sz w:val="24"/>
                <w:szCs w:val="24"/>
                <w:highlight w:val="none"/>
                <w:lang w:val="en-US" w:eastAsia="zh-CN"/>
              </w:rPr>
              <w:t>6</w:t>
            </w:r>
          </w:p>
        </w:tc>
        <w:tc>
          <w:tcPr>
            <w:tcW w:w="7781" w:type="dxa"/>
            <w:vAlign w:val="center"/>
          </w:tcPr>
          <w:p>
            <w:pPr>
              <w:spacing w:line="240" w:lineRule="auto"/>
              <w:jc w:val="left"/>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由评标委员会成员独立进行客观、公正的评价，根据各</w:t>
            </w:r>
            <w:r>
              <w:rPr>
                <w:rFonts w:hint="eastAsia" w:ascii="宋体" w:hAnsi="宋体" w:eastAsia="宋体" w:cs="Times New Roman"/>
                <w:bCs/>
                <w:sz w:val="24"/>
                <w:szCs w:val="24"/>
                <w:highlight w:val="none"/>
                <w:lang w:eastAsia="zh-CN"/>
              </w:rPr>
              <w:t>投标人</w:t>
            </w:r>
            <w:r>
              <w:rPr>
                <w:rFonts w:hint="eastAsia" w:ascii="宋体" w:hAnsi="宋体" w:eastAsia="宋体" w:cs="Times New Roman"/>
                <w:bCs/>
                <w:sz w:val="24"/>
                <w:szCs w:val="24"/>
                <w:highlight w:val="none"/>
              </w:rPr>
              <w:t>的核心产品的配置参数、技术偏离情况，在满足我司技术基本要求的前提下偏离，无偏离得满分</w:t>
            </w:r>
            <w:r>
              <w:rPr>
                <w:rFonts w:hint="eastAsia" w:ascii="宋体" w:hAnsi="宋体" w:eastAsia="宋体" w:cs="Times New Roman"/>
                <w:bCs/>
                <w:sz w:val="24"/>
                <w:szCs w:val="24"/>
                <w:highlight w:val="none"/>
                <w:lang w:val="en-US" w:eastAsia="zh-CN"/>
              </w:rPr>
              <w:t>12</w:t>
            </w:r>
            <w:r>
              <w:rPr>
                <w:rFonts w:hint="eastAsia" w:ascii="宋体" w:hAnsi="宋体" w:eastAsia="宋体" w:cs="Times New Roman"/>
                <w:bCs/>
                <w:sz w:val="24"/>
                <w:szCs w:val="24"/>
                <w:highlight w:val="none"/>
              </w:rPr>
              <w:t>分，较大偏离每一项扣</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分，一般偏离每一项扣</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分，最低</w:t>
            </w:r>
            <w:r>
              <w:rPr>
                <w:rFonts w:ascii="宋体" w:hAnsi="Times New Roman" w:eastAsia="宋体" w:cs="Times New Roman"/>
                <w:bCs/>
                <w:sz w:val="24"/>
                <w:szCs w:val="24"/>
                <w:highlight w:val="none"/>
              </w:rPr>
              <w:t>0</w:t>
            </w:r>
            <w:r>
              <w:rPr>
                <w:rFonts w:hint="eastAsia" w:ascii="宋体" w:hAnsi="宋体" w:eastAsia="宋体" w:cs="Times New Roman"/>
                <w:bCs/>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spacing w:line="240" w:lineRule="auto"/>
              <w:jc w:val="center"/>
              <w:rPr>
                <w:rFonts w:ascii="宋体" w:hAnsi="Times New Roman" w:eastAsia="宋体" w:cs="Times New Roman"/>
                <w:sz w:val="24"/>
                <w:szCs w:val="24"/>
              </w:rPr>
            </w:pPr>
          </w:p>
        </w:tc>
        <w:tc>
          <w:tcPr>
            <w:tcW w:w="750" w:type="dxa"/>
            <w:vMerge w:val="restart"/>
            <w:vAlign w:val="center"/>
          </w:tcPr>
          <w:p>
            <w:pPr>
              <w:spacing w:line="240" w:lineRule="auto"/>
              <w:jc w:val="center"/>
              <w:rPr>
                <w:rFonts w:ascii="宋体" w:hAnsi="宋体" w:eastAsia="宋体" w:cs="Times New Roman"/>
                <w:sz w:val="24"/>
                <w:szCs w:val="24"/>
                <w:highlight w:val="none"/>
              </w:rPr>
            </w:pPr>
            <w:r>
              <w:rPr>
                <w:rFonts w:hint="eastAsia" w:ascii="宋体" w:hAnsi="宋体" w:eastAsia="宋体" w:cs="Times New Roman"/>
                <w:sz w:val="24"/>
                <w:szCs w:val="24"/>
                <w:highlight w:val="none"/>
              </w:rPr>
              <w:t>售后服务</w:t>
            </w: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6</w:t>
            </w:r>
          </w:p>
        </w:tc>
        <w:tc>
          <w:tcPr>
            <w:tcW w:w="3100"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sz w:val="24"/>
                <w:szCs w:val="24"/>
                <w:highlight w:val="none"/>
              </w:rPr>
              <w:t>技术培训方案：对采购方人员的技术培训方案安排科学、合理、可行</w:t>
            </w:r>
          </w:p>
        </w:tc>
        <w:tc>
          <w:tcPr>
            <w:tcW w:w="817"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3</w:t>
            </w:r>
          </w:p>
        </w:tc>
        <w:tc>
          <w:tcPr>
            <w:tcW w:w="7781"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spacing w:line="240" w:lineRule="auto"/>
              <w:jc w:val="center"/>
              <w:rPr>
                <w:rFonts w:ascii="宋体" w:hAnsi="Times New Roman" w:eastAsia="宋体" w:cs="Times New Roman"/>
                <w:sz w:val="24"/>
                <w:szCs w:val="24"/>
              </w:rPr>
            </w:pPr>
          </w:p>
        </w:tc>
        <w:tc>
          <w:tcPr>
            <w:tcW w:w="750" w:type="dxa"/>
            <w:vMerge w:val="continue"/>
            <w:vAlign w:val="center"/>
          </w:tcPr>
          <w:p>
            <w:pPr>
              <w:spacing w:line="240" w:lineRule="auto"/>
              <w:jc w:val="center"/>
              <w:rPr>
                <w:rFonts w:ascii="宋体" w:hAnsi="宋体" w:eastAsia="宋体" w:cs="Times New Roman"/>
                <w:sz w:val="24"/>
                <w:szCs w:val="24"/>
                <w:highlight w:val="none"/>
              </w:rPr>
            </w:pP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7</w:t>
            </w:r>
          </w:p>
        </w:tc>
        <w:tc>
          <w:tcPr>
            <w:tcW w:w="3100" w:type="dxa"/>
            <w:shd w:val="clear" w:color="auto" w:fill="auto"/>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bCs/>
                <w:sz w:val="24"/>
                <w:szCs w:val="24"/>
                <w:highlight w:val="none"/>
              </w:rPr>
              <w:t>投标人在中国有常驻的专业技术力量的维保机构并具有实施本项目维保的专业技术人员：</w:t>
            </w:r>
          </w:p>
        </w:tc>
        <w:tc>
          <w:tcPr>
            <w:tcW w:w="817" w:type="dxa"/>
            <w:shd w:val="clear" w:color="auto" w:fill="auto"/>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bCs/>
                <w:sz w:val="24"/>
                <w:szCs w:val="24"/>
                <w:highlight w:val="none"/>
                <w:lang w:val="en-US" w:eastAsia="zh-CN"/>
              </w:rPr>
              <w:t>3</w:t>
            </w:r>
          </w:p>
        </w:tc>
        <w:tc>
          <w:tcPr>
            <w:tcW w:w="7781" w:type="dxa"/>
            <w:shd w:val="clear" w:color="auto" w:fill="auto"/>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spacing w:line="240" w:lineRule="auto"/>
              <w:jc w:val="center"/>
              <w:rPr>
                <w:rFonts w:ascii="宋体" w:hAnsi="Times New Roman" w:eastAsia="宋体" w:cs="Times New Roman"/>
                <w:sz w:val="24"/>
                <w:szCs w:val="24"/>
              </w:rPr>
            </w:pPr>
          </w:p>
        </w:tc>
        <w:tc>
          <w:tcPr>
            <w:tcW w:w="750" w:type="dxa"/>
            <w:vMerge w:val="continue"/>
            <w:vAlign w:val="center"/>
          </w:tcPr>
          <w:p>
            <w:pPr>
              <w:spacing w:line="240" w:lineRule="auto"/>
              <w:jc w:val="center"/>
              <w:rPr>
                <w:rFonts w:ascii="宋体" w:hAnsi="宋体" w:eastAsia="宋体" w:cs="Times New Roman"/>
                <w:sz w:val="24"/>
                <w:szCs w:val="24"/>
                <w:highlight w:val="none"/>
              </w:rPr>
            </w:pPr>
          </w:p>
        </w:tc>
        <w:tc>
          <w:tcPr>
            <w:tcW w:w="533" w:type="dxa"/>
            <w:vAlign w:val="center"/>
          </w:tcPr>
          <w:p>
            <w:pPr>
              <w:spacing w:line="240" w:lineRule="auto"/>
              <w:jc w:val="center"/>
              <w:rPr>
                <w:rFonts w:ascii="宋体" w:hAnsi="宋体" w:eastAsia="宋体" w:cs="Times New Roman"/>
                <w:sz w:val="24"/>
                <w:szCs w:val="24"/>
                <w:highlight w:val="none"/>
              </w:rPr>
            </w:pPr>
            <w:r>
              <w:rPr>
                <w:rFonts w:ascii="宋体" w:hAnsi="宋体" w:eastAsia="宋体" w:cs="Times New Roman"/>
                <w:sz w:val="24"/>
                <w:szCs w:val="24"/>
                <w:highlight w:val="none"/>
              </w:rPr>
              <w:t>8</w:t>
            </w:r>
          </w:p>
        </w:tc>
        <w:tc>
          <w:tcPr>
            <w:tcW w:w="3100" w:type="dxa"/>
            <w:vAlign w:val="center"/>
          </w:tcPr>
          <w:p>
            <w:pPr>
              <w:spacing w:line="240" w:lineRule="auto"/>
              <w:rPr>
                <w:rFonts w:ascii="宋体" w:hAnsi="Times New Roman" w:eastAsia="宋体" w:cs="Times New Roman"/>
                <w:sz w:val="24"/>
                <w:szCs w:val="24"/>
                <w:highlight w:val="none"/>
              </w:rPr>
            </w:pPr>
            <w:r>
              <w:rPr>
                <w:rFonts w:hint="eastAsia" w:ascii="宋体" w:hAnsi="宋体" w:eastAsia="宋体" w:cs="Times New Roman"/>
                <w:sz w:val="24"/>
                <w:szCs w:val="24"/>
                <w:highlight w:val="none"/>
              </w:rPr>
              <w:t>售后服务及时周到，有相应的服务承诺和具体的保证措施</w:t>
            </w:r>
          </w:p>
        </w:tc>
        <w:tc>
          <w:tcPr>
            <w:tcW w:w="817" w:type="dxa"/>
            <w:vAlign w:val="center"/>
          </w:tcPr>
          <w:p>
            <w:pPr>
              <w:spacing w:line="240" w:lineRule="auto"/>
              <w:jc w:val="center"/>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val="en-US" w:eastAsia="zh-CN"/>
              </w:rPr>
              <w:t>3</w:t>
            </w:r>
          </w:p>
        </w:tc>
        <w:tc>
          <w:tcPr>
            <w:tcW w:w="7781" w:type="dxa"/>
            <w:vAlign w:val="center"/>
          </w:tcPr>
          <w:p>
            <w:pPr>
              <w:spacing w:line="240" w:lineRule="auto"/>
              <w:rPr>
                <w:rFonts w:ascii="宋体" w:hAnsi="Times New Roman" w:eastAsia="宋体" w:cs="Times New Roman"/>
                <w:bCs/>
                <w:sz w:val="24"/>
                <w:szCs w:val="24"/>
                <w:highlight w:val="none"/>
              </w:rPr>
            </w:pPr>
            <w:r>
              <w:rPr>
                <w:rFonts w:hint="eastAsia" w:ascii="宋体" w:hAnsi="宋体" w:eastAsia="宋体" w:cs="Times New Roman"/>
                <w:bCs/>
                <w:sz w:val="24"/>
                <w:szCs w:val="24"/>
                <w:highlight w:val="none"/>
              </w:rPr>
              <w:t>由评标委员会成员独立进行客观、公正的评价，按照优、良、一般进行赋分，优得</w:t>
            </w:r>
            <w:r>
              <w:rPr>
                <w:rFonts w:hint="eastAsia" w:ascii="宋体" w:hAnsi="宋体" w:eastAsia="宋体" w:cs="Times New Roman"/>
                <w:bCs/>
                <w:sz w:val="24"/>
                <w:szCs w:val="24"/>
                <w:highlight w:val="none"/>
                <w:lang w:val="en-US" w:eastAsia="zh-CN"/>
              </w:rPr>
              <w:t>6</w:t>
            </w:r>
            <w:r>
              <w:rPr>
                <w:rFonts w:hint="eastAsia" w:ascii="宋体" w:hAnsi="宋体" w:eastAsia="宋体" w:cs="Times New Roman"/>
                <w:bCs/>
                <w:sz w:val="24"/>
                <w:szCs w:val="24"/>
                <w:highlight w:val="none"/>
              </w:rPr>
              <w:t>分，良得</w:t>
            </w:r>
            <w:r>
              <w:rPr>
                <w:rFonts w:hint="eastAsia" w:ascii="宋体" w:hAnsi="宋体" w:eastAsia="宋体" w:cs="Times New Roman"/>
                <w:bCs/>
                <w:sz w:val="24"/>
                <w:szCs w:val="24"/>
                <w:highlight w:val="none"/>
                <w:lang w:val="en-US" w:eastAsia="zh-CN"/>
              </w:rPr>
              <w:t>4</w:t>
            </w:r>
            <w:r>
              <w:rPr>
                <w:rFonts w:hint="eastAsia" w:ascii="宋体" w:hAnsi="宋体" w:eastAsia="宋体" w:cs="Times New Roman"/>
                <w:bCs/>
                <w:sz w:val="24"/>
                <w:szCs w:val="24"/>
                <w:highlight w:val="none"/>
              </w:rPr>
              <w:t>分，一般得</w:t>
            </w:r>
            <w:r>
              <w:rPr>
                <w:rFonts w:hint="eastAsia" w:ascii="宋体" w:hAnsi="宋体" w:eastAsia="宋体" w:cs="Times New Roman"/>
                <w:bCs/>
                <w:sz w:val="24"/>
                <w:szCs w:val="24"/>
                <w:highlight w:val="none"/>
                <w:lang w:val="en-US" w:eastAsia="zh-CN"/>
              </w:rPr>
              <w:t>2</w:t>
            </w:r>
            <w:r>
              <w:rPr>
                <w:rFonts w:hint="eastAsia" w:ascii="宋体" w:hAnsi="宋体" w:eastAsia="宋体" w:cs="Times New Roman"/>
                <w:bCs/>
                <w:sz w:val="24"/>
                <w:szCs w:val="24"/>
                <w:highlight w:val="none"/>
              </w:rPr>
              <w:t>分。</w:t>
            </w:r>
          </w:p>
        </w:tc>
      </w:tr>
    </w:tbl>
    <w:p>
      <w:pPr>
        <w:pStyle w:val="20"/>
        <w:rPr>
          <w:rFonts w:hAnsi="宋体" w:eastAsia="宋体" w:cs="Times New Roman"/>
          <w:b/>
          <w:color w:val="000000"/>
          <w:sz w:val="24"/>
          <w:szCs w:val="24"/>
        </w:rPr>
      </w:pPr>
    </w:p>
    <w:p>
      <w:pPr>
        <w:rPr>
          <w:rFonts w:ascii="宋体" w:hAnsi="宋体"/>
          <w:szCs w:val="24"/>
        </w:rPr>
      </w:pPr>
    </w:p>
    <w:p>
      <w:pPr>
        <w:rPr>
          <w:rFonts w:ascii="宋体" w:hAnsi="宋体" w:eastAsia="宋体" w:cs="Times New Roman"/>
          <w:b/>
          <w:bCs/>
          <w:sz w:val="24"/>
          <w:szCs w:val="24"/>
        </w:rPr>
      </w:pPr>
    </w:p>
    <w:p>
      <w:pPr>
        <w:pStyle w:val="5"/>
        <w:sectPr>
          <w:headerReference r:id="rId36" w:type="first"/>
          <w:footerReference r:id="rId38" w:type="first"/>
          <w:headerReference r:id="rId35" w:type="default"/>
          <w:footerReference r:id="rId37" w:type="default"/>
          <w:pgSz w:w="16838" w:h="11906" w:orient="landscape"/>
          <w:pgMar w:top="1418" w:right="1588" w:bottom="1418" w:left="1134" w:header="851" w:footer="992" w:gutter="0"/>
          <w:cols w:space="720" w:num="1"/>
          <w:titlePg/>
          <w:docGrid w:type="lines" w:linePitch="312" w:charSpace="0"/>
        </w:sectPr>
      </w:pPr>
    </w:p>
    <w:p>
      <w:pPr>
        <w:pStyle w:val="20"/>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5"/>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6"/>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7"/>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8"/>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ascii="宋体" w:hAnsi="宋体" w:eastAsia="宋体" w:cs="宋体"/>
          <w:color w:val="000000"/>
        </w:rPr>
      </w:pPr>
    </w:p>
    <w:p>
      <w: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9"/>
                    <a:stretch>
                      <a:fillRect/>
                    </a:stretch>
                  </pic:blipFill>
                  <pic:spPr>
                    <a:xfrm>
                      <a:off x="0" y="0"/>
                      <a:ext cx="5760085" cy="2810122"/>
                    </a:xfrm>
                    <a:prstGeom prst="rect">
                      <a:avLst/>
                    </a:prstGeom>
                  </pic:spPr>
                </pic:pic>
              </a:graphicData>
            </a:graphic>
          </wp:inline>
        </w:drawing>
      </w:r>
    </w:p>
    <w:p>
      <w:pPr>
        <w:pStyle w:val="20"/>
        <w:sectPr>
          <w:pgSz w:w="11906" w:h="16838"/>
          <w:pgMar w:top="1588" w:right="1418" w:bottom="1134" w:left="1418" w:header="851" w:footer="992" w:gutter="0"/>
          <w:cols w:space="720" w:num="1"/>
          <w:titlePg/>
          <w:docGrid w:type="lines" w:linePitch="312" w:charSpace="0"/>
        </w:sectPr>
      </w:pPr>
      <w: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50"/>
                    <a:stretch>
                      <a:fillRect/>
                    </a:stretch>
                  </pic:blipFill>
                  <pic:spPr>
                    <a:xfrm>
                      <a:off x="0" y="0"/>
                      <a:ext cx="5760085" cy="2820042"/>
                    </a:xfrm>
                    <a:prstGeom prst="rect">
                      <a:avLst/>
                    </a:prstGeom>
                  </pic:spPr>
                </pic:pic>
              </a:graphicData>
            </a:graphic>
          </wp:inline>
        </w:drawing>
      </w:r>
    </w:p>
    <w:p>
      <w:pPr>
        <w:pStyle w:val="20"/>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7"/>
          <w:rFonts w:hint="eastAsia" w:ascii="宋体" w:hAnsi="宋体" w:eastAsia="宋体" w:cs="宋体"/>
          <w:sz w:val="24"/>
          <w:szCs w:val="24"/>
        </w:rPr>
        <w:t>http://ecaitong.sinotruk.com:8012/</w:t>
      </w:r>
      <w:r>
        <w:rPr>
          <w:rStyle w:val="47"/>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初始密码：@2025</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1"/>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2"/>
                    <a:stretch>
                      <a:fillRect/>
                    </a:stretch>
                  </pic:blipFill>
                  <pic:spPr>
                    <a:xfrm>
                      <a:off x="0" y="0"/>
                      <a:ext cx="5760085" cy="2125673"/>
                    </a:xfrm>
                    <a:prstGeom prst="rect">
                      <a:avLst/>
                    </a:prstGeom>
                  </pic:spPr>
                </pic:pic>
              </a:graphicData>
            </a:graphic>
          </wp:inline>
        </w:drawing>
      </w:r>
    </w:p>
    <w:p>
      <w:pPr>
        <w:spacing w:line="360" w:lineRule="auto"/>
        <w:rPr>
          <w:sz w:val="24"/>
          <w:szCs w:val="28"/>
        </w:rPr>
      </w:pPr>
      <w:r>
        <w:rPr>
          <w:rFonts w:ascii="宋体" w:hAnsi="宋体" w:eastAsia="宋体" w:cs="宋体"/>
          <w:color w:val="000000"/>
          <w:sz w:val="24"/>
          <w:szCs w:val="28"/>
        </w:rPr>
        <w:t>点击投标按钮，进入详情页，输入投标报价并上传相应的附件。</w:t>
      </w:r>
    </w:p>
    <w:p>
      <w:pPr>
        <w:rPr>
          <w:rFonts w:eastAsia="Arial" w:cs="Arial"/>
          <w:color w:val="000000"/>
        </w:rPr>
      </w:pPr>
      <w:r>
        <w:rPr>
          <w:rFonts w:eastAsia="Arial" w:cs="Arial"/>
          <w:color w:val="000000"/>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3"/>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4"/>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rPr>
          <w:rFonts w:eastAsia="Arial" w:cs="Arial"/>
          <w:color w:val="000000"/>
        </w:rPr>
      </w:pPr>
      <w:r>
        <w:rPr>
          <w:rFonts w:eastAsia="Arial" w:cs="Arial"/>
          <w:color w:val="000000"/>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5"/>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6"/>
                    <a:stretch>
                      <a:fillRect/>
                    </a:stretch>
                  </pic:blipFill>
                  <pic:spPr>
                    <a:xfrm>
                      <a:off x="0" y="0"/>
                      <a:ext cx="5760085" cy="1956600"/>
                    </a:xfrm>
                    <a:prstGeom prst="rect">
                      <a:avLst/>
                    </a:prstGeom>
                  </pic:spPr>
                </pic:pic>
              </a:graphicData>
            </a:graphic>
          </wp:inline>
        </w:drawing>
      </w:r>
    </w:p>
    <w:p>
      <w:pPr>
        <w:pStyle w:val="20"/>
        <w:rPr>
          <w:rFonts w:hAnsi="宋体" w:eastAsia="宋体" w:cs="Times New Roman"/>
          <w:b/>
          <w:color w:val="000000"/>
          <w:sz w:val="24"/>
          <w:szCs w:val="24"/>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sectPr>
      <w:headerReference r:id="rId40" w:type="first"/>
      <w:footerReference r:id="rId42" w:type="first"/>
      <w:headerReference r:id="rId39" w:type="default"/>
      <w:footerReference r:id="rId41"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MiSans Demibold">
    <w:altName w:val="宋体"/>
    <w:panose1 w:val="00000000000000000000"/>
    <w:charset w:val="86"/>
    <w:family w:val="auto"/>
    <w:pitch w:val="default"/>
    <w:sig w:usb0="00000000" w:usb1="00000000"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Segoe UI Emoji">
    <w:panose1 w:val="020B0502040204020203"/>
    <w:charset w:val="00"/>
    <w:family w:val="swiss"/>
    <w:pitch w:val="default"/>
    <w:sig w:usb0="00000001" w:usb1="02000000" w:usb2="00000000" w:usb3="00000000" w:csb0="00000001" w:csb1="00000000"/>
  </w:font>
  <w:font w:name="方正小标宋简体">
    <w:altName w:val="黑体"/>
    <w:panose1 w:val="02000000000000000000"/>
    <w:charset w:val="86"/>
    <w:family w:val="script"/>
    <w:pitch w:val="default"/>
    <w:sig w:usb0="00000000" w:usb1="00000000" w:usb2="00000012"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 w:name="MS PGothic">
    <w:panose1 w:val="020B0600070205080204"/>
    <w:charset w:val="80"/>
    <w:family w:val="auto"/>
    <w:pitch w:val="default"/>
    <w:sig w:usb0="E00002FF" w:usb1="6AC7FDFB" w:usb2="08000012" w:usb3="00000000" w:csb0="4002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7" name="文本框 9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7gwGItAgAAVw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tabs>
        <w:tab w:val="clear" w:pos="4153"/>
      </w:tabs>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9" name="文本框 9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45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wsU1ctAgAAVw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fU6KZQsVP37+d&#10;fvw6/fxKcAaBWutniHuwiAzdW9OhbYZzj8PIu6ucil8wIvBD3uNFXtEFwuOl6WQ6zeHi8A0b4GeP&#10;163z4Z0wikSjoA71S7Kyw8aHPnQIidm0WTdSphpKTdqCXr1+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wsU1ctAgAAVw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45</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49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49</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48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48</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2"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bNp5MywCAABZ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52</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3"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FVW4tAgAAWQQAAA4AAABkcnMvZTJvRG9jLnhtbK1UzY7TMBC+I/EO&#10;lu80aVes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qb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KFVW4tAgAAWQ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6" name="文本框 10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laO5nCwCAABZ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- 25 -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- 25 -</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7" name="文本框 10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v8lcEtAgAAWQ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lhLNFEp++vH9&#10;9PPh9OsbiYeQqLV+hsh7i9jQvTMdwodzj8PIvKucil9wIvBD4ONFYNEFwuOl6WQ6zeHi8A0b4GeP&#10;163z4b0wikSjoA4VTMKyw8aHPnQIidm0WTdSpipKTdqCXr1+k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v8lcEtAgAAWQ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8"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5DQDSwCAABZ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9"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64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3P/FA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lhLNFEp++vH9&#10;9PPh9OsbiYeQqLV+hsh7i9jQvTMdwodzj8PIvKucil9wIvBD4ONFYNEFwuOl6WQ6zeHi8A0b4GeP&#10;163z4b0wikSjoA4VTMKyw8aHPnQIidm0WTdSpipKTdqCXr1+k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3P/FAtAgAAWQ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64</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0" name="文本框 1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CGzs4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IbOziwCAABZ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1" name="文本框 1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7Z4pMsAgAAWQ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tnikywCAABZ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2" name="文本框 1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w5lnQ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TDmWdCwCAABZ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3" name="文本框 1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JmuiktAgAAWQ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v3o7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JmuiktAgAAWQ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n/DmE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4DSWaKZT89OP7&#10;6efD6dc3Eg8hUWv9DJH3FrGhe2c6hA/nHoeReVc5Fb/gROCHwMeLwKILhMdL08l0msPF4Rs2wM8e&#10;r1vnw3thFIlGQR0qmIRlh40PfegQErNps26kTFWUmrQFvXr9N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n/DmEtAgAAWQ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5"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egIjw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fXo3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egIjwtAgAAWQ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67</w:t>
                    </w:r>
                    <w:r>
                      <w:fldChar w:fldCharType="end"/>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6" name="文本框 1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75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VAVts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tUBW2ywCAABZ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75</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7" name="文本框 1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sfeoYtAgAAWQ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4LSWaKZT89OP7&#10;6efD6dc3Eg8hUWv9DJH3FrGhe2c6hA/nHoeReVc5Fb/gROCHwMeLwKILhMdL08l0msPF4Rs2wM8e&#10;r1vnw3thFIlGQR0qmIRlh40PfegQErNps26kTFWUmrQFvXr9J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sfeoYtAgAAWQ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10</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5"/>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5"/>
                    </w:pPr>
                    <w:r>
                      <w:fldChar w:fldCharType="begin"/>
                    </w:r>
                    <w:r>
                      <w:instrText xml:space="preserve"> PAGE  \* MERGEFORMAT </w:instrText>
                    </w:r>
                    <w:r>
                      <w:fldChar w:fldCharType="separate"/>
                    </w:r>
                    <w:r>
                      <w:t>37</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p>
    <w:pPr>
      <w:pStyle w:val="2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p>
    <w:pPr>
      <w:pStyle w:val="2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C5613B56"/>
    <w:multiLevelType w:val="singleLevel"/>
    <w:tmpl w:val="C5613B56"/>
    <w:lvl w:ilvl="0" w:tentative="0">
      <w:start w:val="2"/>
      <w:numFmt w:val="decimal"/>
      <w:lvlText w:val="%1."/>
      <w:lvlJc w:val="left"/>
      <w:pPr>
        <w:tabs>
          <w:tab w:val="left" w:pos="312"/>
        </w:tabs>
      </w:p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0000019"/>
    <w:multiLevelType w:val="multilevel"/>
    <w:tmpl w:val="00000019"/>
    <w:lvl w:ilvl="0" w:tentative="0">
      <w:start w:val="1"/>
      <w:numFmt w:val="decimal"/>
      <w:lvlText w:val="%1."/>
      <w:lvlJc w:val="left"/>
      <w:pPr>
        <w:ind w:left="425" w:hanging="425"/>
      </w:pPr>
    </w:lvl>
    <w:lvl w:ilvl="1" w:tentative="0">
      <w:start w:val="1"/>
      <w:numFmt w:val="decimal"/>
      <w:lvlText w:val="%1.%2."/>
      <w:lvlJc w:val="left"/>
      <w:pPr>
        <w:ind w:left="567" w:hanging="567"/>
      </w:pPr>
    </w:lvl>
    <w:lvl w:ilvl="2" w:tentative="0">
      <w:start w:val="1"/>
      <w:numFmt w:val="decimal"/>
      <w:pStyle w:val="151"/>
      <w:lvlText w:val="%1.%2.%3."/>
      <w:lvlJc w:val="left"/>
      <w:pPr>
        <w:ind w:left="709" w:hanging="709"/>
      </w:pPr>
    </w:lvl>
    <w:lvl w:ilvl="3" w:tentative="0">
      <w:start w:val="1"/>
      <w:numFmt w:val="decimal"/>
      <w:pStyle w:val="150"/>
      <w:lvlText w:val="%1.%2.%3.%4."/>
      <w:lvlJc w:val="left"/>
      <w:pPr>
        <w:ind w:left="851" w:hanging="851"/>
      </w:pPr>
    </w:lvl>
    <w:lvl w:ilvl="4" w:tentative="0">
      <w:start w:val="1"/>
      <w:numFmt w:val="decimal"/>
      <w:lvlText w:val="%5)"/>
      <w:lvlJc w:val="left"/>
      <w:pPr>
        <w:ind w:left="360" w:hanging="360"/>
      </w:pPr>
      <w:rPr>
        <w:rFonts w:hint="default"/>
      </w:rPr>
    </w:lvl>
    <w:lvl w:ilvl="5" w:tentative="0">
      <w:start w:val="1"/>
      <w:numFmt w:val="decimal"/>
      <w:lvlText w:val="%6）"/>
      <w:lvlJc w:val="left"/>
      <w:pPr>
        <w:ind w:left="360" w:hanging="360"/>
      </w:pPr>
      <w:rPr>
        <w:rFonts w:hint="default"/>
      </w:r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62A16E3"/>
    <w:multiLevelType w:val="multilevel"/>
    <w:tmpl w:val="062A16E3"/>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6">
    <w:nsid w:val="08001359"/>
    <w:multiLevelType w:val="multilevel"/>
    <w:tmpl w:val="08001359"/>
    <w:lvl w:ilvl="0" w:tentative="0">
      <w:start w:val="1"/>
      <w:numFmt w:val="bullet"/>
      <w:lvlText w:val=""/>
      <w:lvlJc w:val="left"/>
      <w:pPr>
        <w:ind w:left="900" w:hanging="420"/>
      </w:pPr>
      <w:rPr>
        <w:rFonts w:hint="default" w:ascii="Wingdings" w:hAnsi="Wingdings"/>
      </w:rPr>
    </w:lvl>
    <w:lvl w:ilvl="1" w:tentative="0">
      <w:start w:val="1"/>
      <w:numFmt w:val="decimal"/>
      <w:lvlText w:val="%2）"/>
      <w:lvlJc w:val="left"/>
      <w:pPr>
        <w:ind w:left="1680" w:hanging="78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7">
    <w:nsid w:val="09274864"/>
    <w:multiLevelType w:val="multilevel"/>
    <w:tmpl w:val="09274864"/>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8">
    <w:nsid w:val="0BDD5532"/>
    <w:multiLevelType w:val="multilevel"/>
    <w:tmpl w:val="0BDD5532"/>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9">
    <w:nsid w:val="0E795969"/>
    <w:multiLevelType w:val="multilevel"/>
    <w:tmpl w:val="0E795969"/>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0">
    <w:nsid w:val="165A389B"/>
    <w:multiLevelType w:val="multilevel"/>
    <w:tmpl w:val="165A389B"/>
    <w:lvl w:ilvl="0" w:tentative="0">
      <w:start w:val="1"/>
      <w:numFmt w:val="bullet"/>
      <w:lvlText w:val=""/>
      <w:lvlJc w:val="left"/>
      <w:pPr>
        <w:ind w:left="900" w:hanging="420"/>
      </w:pPr>
      <w:rPr>
        <w:rFonts w:hint="default" w:ascii="Wingdings" w:hAnsi="Wingdings"/>
      </w:rPr>
    </w:lvl>
    <w:lvl w:ilvl="1" w:tentative="0">
      <w:start w:val="1"/>
      <w:numFmt w:val="decimal"/>
      <w:lvlText w:val="%2）"/>
      <w:lvlJc w:val="left"/>
      <w:pPr>
        <w:ind w:left="1680" w:hanging="78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1">
    <w:nsid w:val="16F56D45"/>
    <w:multiLevelType w:val="multilevel"/>
    <w:tmpl w:val="16F56D45"/>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
    <w:nsid w:val="18176923"/>
    <w:multiLevelType w:val="multilevel"/>
    <w:tmpl w:val="18176923"/>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
    <w:nsid w:val="198F25D8"/>
    <w:multiLevelType w:val="multilevel"/>
    <w:tmpl w:val="198F25D8"/>
    <w:lvl w:ilvl="0" w:tentative="0">
      <w:start w:val="1"/>
      <w:numFmt w:val="bullet"/>
      <w:lvlText w:val=""/>
      <w:lvlJc w:val="left"/>
      <w:pPr>
        <w:ind w:left="900" w:hanging="420"/>
      </w:pPr>
      <w:rPr>
        <w:rFonts w:hint="default" w:ascii="Wingdings" w:hAnsi="Wingdings"/>
      </w:rPr>
    </w:lvl>
    <w:lvl w:ilvl="1" w:tentative="0">
      <w:start w:val="1"/>
      <w:numFmt w:val="decimal"/>
      <w:lvlText w:val="%2）"/>
      <w:lvlJc w:val="left"/>
      <w:pPr>
        <w:ind w:left="1680" w:hanging="78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15">
    <w:nsid w:val="24F33877"/>
    <w:multiLevelType w:val="multilevel"/>
    <w:tmpl w:val="24F33877"/>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6">
    <w:nsid w:val="269B4CC2"/>
    <w:multiLevelType w:val="multilevel"/>
    <w:tmpl w:val="269B4CC2"/>
    <w:lvl w:ilvl="0" w:tentative="0">
      <w:start w:val="1"/>
      <w:numFmt w:val="decimal"/>
      <w:pStyle w:val="141"/>
      <w:suff w:val="space"/>
      <w:lvlText w:val="%1."/>
      <w:lvlJc w:val="left"/>
      <w:pPr>
        <w:ind w:left="567" w:hanging="425"/>
      </w:pPr>
      <w:rPr>
        <w:rFonts w:hint="eastAsia"/>
      </w:rPr>
    </w:lvl>
    <w:lvl w:ilvl="1" w:tentative="0">
      <w:start w:val="1"/>
      <w:numFmt w:val="decimal"/>
      <w:pStyle w:val="142"/>
      <w:suff w:val="space"/>
      <w:lvlText w:val="%1.%2."/>
      <w:lvlJc w:val="left"/>
      <w:pPr>
        <w:ind w:left="425" w:hanging="425"/>
      </w:pPr>
      <w:rPr>
        <w:rFonts w:hint="eastAsia"/>
      </w:rPr>
    </w:lvl>
    <w:lvl w:ilvl="2" w:tentative="0">
      <w:start w:val="1"/>
      <w:numFmt w:val="decimal"/>
      <w:pStyle w:val="143"/>
      <w:suff w:val="space"/>
      <w:lvlText w:val="%1.%2.%3."/>
      <w:lvlJc w:val="left"/>
      <w:pPr>
        <w:ind w:left="425" w:hanging="425"/>
      </w:pPr>
      <w:rPr>
        <w:rFonts w:hint="eastAsia"/>
      </w:rPr>
    </w:lvl>
    <w:lvl w:ilvl="3" w:tentative="0">
      <w:start w:val="1"/>
      <w:numFmt w:val="decimal"/>
      <w:suff w:val="space"/>
      <w:lvlText w:val="%1.%2.%3.%4."/>
      <w:lvlJc w:val="left"/>
      <w:pPr>
        <w:ind w:left="425" w:hanging="425"/>
      </w:pPr>
      <w:rPr>
        <w:rFonts w:hint="eastAsia"/>
      </w:rPr>
    </w:lvl>
    <w:lvl w:ilvl="4" w:tentative="0">
      <w:start w:val="1"/>
      <w:numFmt w:val="decimal"/>
      <w:suff w:val="space"/>
      <w:lvlText w:val="%1.%2.%3.%4.%5."/>
      <w:lvlJc w:val="left"/>
      <w:pPr>
        <w:ind w:left="425" w:hanging="425"/>
      </w:pPr>
      <w:rPr>
        <w:rFonts w:hint="eastAsia"/>
      </w:rPr>
    </w:lvl>
    <w:lvl w:ilvl="5" w:tentative="0">
      <w:start w:val="1"/>
      <w:numFmt w:val="decimal"/>
      <w:suff w:val="space"/>
      <w:lvlText w:val="%1.%2.%3.%4.%5.%6."/>
      <w:lvlJc w:val="left"/>
      <w:pPr>
        <w:ind w:left="425" w:hanging="425"/>
      </w:pPr>
      <w:rPr>
        <w:rFonts w:hint="eastAsia"/>
      </w:rPr>
    </w:lvl>
    <w:lvl w:ilvl="6" w:tentative="0">
      <w:start w:val="1"/>
      <w:numFmt w:val="decimal"/>
      <w:suff w:val="space"/>
      <w:lvlText w:val="%1.%2.%3.%4.%5.%6.%7."/>
      <w:lvlJc w:val="left"/>
      <w:pPr>
        <w:ind w:left="425" w:hanging="425"/>
      </w:pPr>
      <w:rPr>
        <w:rFonts w:hint="eastAsia"/>
      </w:rPr>
    </w:lvl>
    <w:lvl w:ilvl="7" w:tentative="0">
      <w:start w:val="1"/>
      <w:numFmt w:val="decimal"/>
      <w:suff w:val="space"/>
      <w:lvlText w:val="%1.%2.%3.%4.%5.%6.%7.%8."/>
      <w:lvlJc w:val="left"/>
      <w:pPr>
        <w:ind w:left="425" w:hanging="425"/>
      </w:pPr>
      <w:rPr>
        <w:rFonts w:hint="eastAsia"/>
      </w:rPr>
    </w:lvl>
    <w:lvl w:ilvl="8" w:tentative="0">
      <w:start w:val="1"/>
      <w:numFmt w:val="decimal"/>
      <w:suff w:val="space"/>
      <w:lvlText w:val="%1.%2.%3.%4.%5.%6.%7.%8.%9."/>
      <w:lvlJc w:val="left"/>
      <w:pPr>
        <w:ind w:left="425" w:hanging="425"/>
      </w:pPr>
      <w:rPr>
        <w:rFonts w:hint="eastAsia"/>
      </w:rPr>
    </w:lvl>
  </w:abstractNum>
  <w:abstractNum w:abstractNumId="17">
    <w:nsid w:val="277974A0"/>
    <w:multiLevelType w:val="multilevel"/>
    <w:tmpl w:val="277974A0"/>
    <w:lvl w:ilvl="0" w:tentative="0">
      <w:start w:val="1"/>
      <w:numFmt w:val="decimal"/>
      <w:lvlText w:val="%1）"/>
      <w:lvlJc w:val="left"/>
      <w:pPr>
        <w:ind w:left="987" w:hanging="420"/>
      </w:pPr>
      <w:rPr>
        <w:rFonts w:hint="eastAsia"/>
      </w:rPr>
    </w:lvl>
    <w:lvl w:ilvl="1" w:tentative="0">
      <w:start w:val="1"/>
      <w:numFmt w:val="lowerLetter"/>
      <w:pStyle w:val="149"/>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18">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9">
    <w:nsid w:val="316B25C8"/>
    <w:multiLevelType w:val="multilevel"/>
    <w:tmpl w:val="316B25C8"/>
    <w:lvl w:ilvl="0" w:tentative="0">
      <w:start w:val="1"/>
      <w:numFmt w:val="bullet"/>
      <w:lvlText w:val=""/>
      <w:lvlJc w:val="left"/>
      <w:pPr>
        <w:ind w:left="900" w:hanging="420"/>
      </w:pPr>
      <w:rPr>
        <w:rFonts w:hint="default" w:ascii="Wingdings" w:hAnsi="Wingdings"/>
      </w:rPr>
    </w:lvl>
    <w:lvl w:ilvl="1" w:tentative="0">
      <w:start w:val="1"/>
      <w:numFmt w:val="decimal"/>
      <w:lvlText w:val="%2）"/>
      <w:lvlJc w:val="left"/>
      <w:pPr>
        <w:ind w:left="1680" w:hanging="78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0">
    <w:nsid w:val="38136D92"/>
    <w:multiLevelType w:val="multilevel"/>
    <w:tmpl w:val="38136D92"/>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1">
    <w:nsid w:val="3C0A0F21"/>
    <w:multiLevelType w:val="multilevel"/>
    <w:tmpl w:val="3C0A0F21"/>
    <w:lvl w:ilvl="0" w:tentative="0">
      <w:start w:val="1"/>
      <w:numFmt w:val="decimal"/>
      <w:lvlText w:val="2.%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2">
    <w:nsid w:val="3E766EBB"/>
    <w:multiLevelType w:val="multilevel"/>
    <w:tmpl w:val="3E766EBB"/>
    <w:lvl w:ilvl="0" w:tentative="0">
      <w:start w:val="1"/>
      <w:numFmt w:val="decimal"/>
      <w:lvlText w:val="1.%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3F932BF2"/>
    <w:multiLevelType w:val="multilevel"/>
    <w:tmpl w:val="3F932BF2"/>
    <w:lvl w:ilvl="0" w:tentative="0">
      <w:start w:val="1"/>
      <w:numFmt w:val="bullet"/>
      <w:lvlText w:val=""/>
      <w:lvlJc w:val="left"/>
      <w:pPr>
        <w:ind w:left="900" w:hanging="420"/>
      </w:pPr>
      <w:rPr>
        <w:rFonts w:hint="default" w:ascii="Wingdings" w:hAnsi="Wingdings"/>
      </w:rPr>
    </w:lvl>
    <w:lvl w:ilvl="1" w:tentative="0">
      <w:start w:val="1"/>
      <w:numFmt w:val="bullet"/>
      <w:pStyle w:val="145"/>
      <w:lvlText w:val=""/>
      <w:lvlJc w:val="left"/>
      <w:pPr>
        <w:ind w:left="920" w:hanging="44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24">
    <w:nsid w:val="40FB31F1"/>
    <w:multiLevelType w:val="multilevel"/>
    <w:tmpl w:val="40FB31F1"/>
    <w:lvl w:ilvl="0" w:tentative="0">
      <w:start w:val="1"/>
      <w:numFmt w:val="bullet"/>
      <w:lvlText w:val=""/>
      <w:lvlJc w:val="left"/>
      <w:pPr>
        <w:ind w:left="920" w:hanging="440"/>
      </w:pPr>
      <w:rPr>
        <w:rFonts w:hint="default" w:ascii="Wingdings" w:hAnsi="Wingdings"/>
      </w:rPr>
    </w:lvl>
    <w:lvl w:ilvl="1" w:tentative="0">
      <w:start w:val="1"/>
      <w:numFmt w:val="bullet"/>
      <w:lvlText w:val=""/>
      <w:lvlJc w:val="left"/>
      <w:pPr>
        <w:ind w:left="1360" w:hanging="440"/>
      </w:pPr>
      <w:rPr>
        <w:rFonts w:hint="default" w:ascii="Wingdings" w:hAnsi="Wingdings"/>
      </w:rPr>
    </w:lvl>
    <w:lvl w:ilvl="2" w:tentative="0">
      <w:start w:val="1"/>
      <w:numFmt w:val="bullet"/>
      <w:lvlText w:val=""/>
      <w:lvlJc w:val="left"/>
      <w:pPr>
        <w:ind w:left="1800" w:hanging="440"/>
      </w:pPr>
      <w:rPr>
        <w:rFonts w:hint="default" w:ascii="Wingdings" w:hAnsi="Wingdings"/>
      </w:rPr>
    </w:lvl>
    <w:lvl w:ilvl="3" w:tentative="0">
      <w:start w:val="1"/>
      <w:numFmt w:val="bullet"/>
      <w:lvlText w:val=""/>
      <w:lvlJc w:val="left"/>
      <w:pPr>
        <w:ind w:left="2240" w:hanging="440"/>
      </w:pPr>
      <w:rPr>
        <w:rFonts w:hint="default" w:ascii="Wingdings" w:hAnsi="Wingdings"/>
      </w:rPr>
    </w:lvl>
    <w:lvl w:ilvl="4" w:tentative="0">
      <w:start w:val="1"/>
      <w:numFmt w:val="bullet"/>
      <w:lvlText w:val=""/>
      <w:lvlJc w:val="left"/>
      <w:pPr>
        <w:ind w:left="2680" w:hanging="440"/>
      </w:pPr>
      <w:rPr>
        <w:rFonts w:hint="default" w:ascii="Wingdings" w:hAnsi="Wingdings"/>
      </w:rPr>
    </w:lvl>
    <w:lvl w:ilvl="5" w:tentative="0">
      <w:start w:val="1"/>
      <w:numFmt w:val="bullet"/>
      <w:lvlText w:val=""/>
      <w:lvlJc w:val="left"/>
      <w:pPr>
        <w:ind w:left="3120" w:hanging="440"/>
      </w:pPr>
      <w:rPr>
        <w:rFonts w:hint="default" w:ascii="Wingdings" w:hAnsi="Wingdings"/>
      </w:rPr>
    </w:lvl>
    <w:lvl w:ilvl="6" w:tentative="0">
      <w:start w:val="1"/>
      <w:numFmt w:val="bullet"/>
      <w:lvlText w:val=""/>
      <w:lvlJc w:val="left"/>
      <w:pPr>
        <w:ind w:left="3560" w:hanging="440"/>
      </w:pPr>
      <w:rPr>
        <w:rFonts w:hint="default" w:ascii="Wingdings" w:hAnsi="Wingdings"/>
      </w:rPr>
    </w:lvl>
    <w:lvl w:ilvl="7" w:tentative="0">
      <w:start w:val="1"/>
      <w:numFmt w:val="bullet"/>
      <w:lvlText w:val=""/>
      <w:lvlJc w:val="left"/>
      <w:pPr>
        <w:ind w:left="4000" w:hanging="440"/>
      </w:pPr>
      <w:rPr>
        <w:rFonts w:hint="default" w:ascii="Wingdings" w:hAnsi="Wingdings"/>
      </w:rPr>
    </w:lvl>
    <w:lvl w:ilvl="8" w:tentative="0">
      <w:start w:val="1"/>
      <w:numFmt w:val="bullet"/>
      <w:lvlText w:val=""/>
      <w:lvlJc w:val="left"/>
      <w:pPr>
        <w:ind w:left="4440" w:hanging="440"/>
      </w:pPr>
      <w:rPr>
        <w:rFonts w:hint="default" w:ascii="Wingdings" w:hAnsi="Wingdings"/>
      </w:rPr>
    </w:lvl>
  </w:abstractNum>
  <w:abstractNum w:abstractNumId="2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26">
    <w:nsid w:val="49725DCB"/>
    <w:multiLevelType w:val="multilevel"/>
    <w:tmpl w:val="49725DCB"/>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7">
    <w:nsid w:val="4C144F71"/>
    <w:multiLevelType w:val="multilevel"/>
    <w:tmpl w:val="4C144F71"/>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8">
    <w:nsid w:val="508E1376"/>
    <w:multiLevelType w:val="multilevel"/>
    <w:tmpl w:val="508E1376"/>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29">
    <w:nsid w:val="54CA215B"/>
    <w:multiLevelType w:val="multilevel"/>
    <w:tmpl w:val="54CA215B"/>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0">
    <w:nsid w:val="578C4D10"/>
    <w:multiLevelType w:val="multilevel"/>
    <w:tmpl w:val="578C4D10"/>
    <w:lvl w:ilvl="0" w:tentative="0">
      <w:start w:val="1"/>
      <w:numFmt w:val="bullet"/>
      <w:lvlText w:val=""/>
      <w:lvlJc w:val="left"/>
      <w:pPr>
        <w:ind w:left="900" w:hanging="420"/>
      </w:pPr>
      <w:rPr>
        <w:rFonts w:hint="default" w:ascii="Wingdings" w:hAnsi="Wingdings"/>
      </w:rPr>
    </w:lvl>
    <w:lvl w:ilvl="1" w:tentative="0">
      <w:start w:val="1"/>
      <w:numFmt w:val="decimal"/>
      <w:lvlText w:val="%2）"/>
      <w:lvlJc w:val="left"/>
      <w:pPr>
        <w:ind w:left="1680" w:hanging="78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1">
    <w:nsid w:val="5C206EAE"/>
    <w:multiLevelType w:val="multilevel"/>
    <w:tmpl w:val="5C206EAE"/>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2">
    <w:nsid w:val="62483373"/>
    <w:multiLevelType w:val="multilevel"/>
    <w:tmpl w:val="62483373"/>
    <w:lvl w:ilvl="0" w:tentative="0">
      <w:start w:val="1"/>
      <w:numFmt w:val="decimal"/>
      <w:lvlText w:val="3.%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3">
    <w:nsid w:val="646260FA"/>
    <w:multiLevelType w:val="multilevel"/>
    <w:tmpl w:val="646260FA"/>
    <w:lvl w:ilvl="0" w:tentative="0">
      <w:start w:val="1"/>
      <w:numFmt w:val="decimal"/>
      <w:pStyle w:val="138"/>
      <w:suff w:val="nothing"/>
      <w:lvlText w:val="表%1　"/>
      <w:lvlJc w:val="left"/>
      <w:pPr>
        <w:ind w:left="0" w:firstLine="0"/>
      </w:pPr>
      <w:rPr>
        <w:rFonts w:hint="eastAsia" w:ascii="黑体" w:hAnsi="Times New Roman" w:eastAsia="黑体"/>
        <w:b w:val="0"/>
        <w:i w:val="0"/>
        <w:color w:val="000000"/>
        <w:sz w:val="21"/>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34">
    <w:nsid w:val="696634B8"/>
    <w:multiLevelType w:val="multilevel"/>
    <w:tmpl w:val="696634B8"/>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5">
    <w:nsid w:val="6E8C6948"/>
    <w:multiLevelType w:val="singleLevel"/>
    <w:tmpl w:val="6E8C6948"/>
    <w:lvl w:ilvl="0" w:tentative="0">
      <w:start w:val="1"/>
      <w:numFmt w:val="chineseCounting"/>
      <w:suff w:val="space"/>
      <w:lvlText w:val="第%1部分"/>
      <w:lvlJc w:val="left"/>
      <w:rPr>
        <w:rFonts w:hint="eastAsia"/>
      </w:rPr>
    </w:lvl>
  </w:abstractNum>
  <w:abstractNum w:abstractNumId="36">
    <w:nsid w:val="771945E6"/>
    <w:multiLevelType w:val="multilevel"/>
    <w:tmpl w:val="771945E6"/>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37">
    <w:nsid w:val="7850A900"/>
    <w:multiLevelType w:val="singleLevel"/>
    <w:tmpl w:val="7850A900"/>
    <w:lvl w:ilvl="0" w:tentative="0">
      <w:start w:val="2"/>
      <w:numFmt w:val="decimal"/>
      <w:suff w:val="nothing"/>
      <w:lvlText w:val="%1）"/>
      <w:lvlJc w:val="left"/>
    </w:lvl>
  </w:abstractNum>
  <w:abstractNum w:abstractNumId="38">
    <w:nsid w:val="7BDB546E"/>
    <w:multiLevelType w:val="multilevel"/>
    <w:tmpl w:val="7BDB546E"/>
    <w:lvl w:ilvl="0" w:tentative="0">
      <w:start w:val="1"/>
      <w:numFmt w:val="bullet"/>
      <w:lvlText w:val=""/>
      <w:lvlJc w:val="left"/>
      <w:pPr>
        <w:ind w:left="900" w:hanging="420"/>
      </w:pPr>
      <w:rPr>
        <w:rFonts w:hint="default" w:ascii="Wingdings" w:hAnsi="Wingdings"/>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33"/>
  </w:num>
  <w:num w:numId="2">
    <w:abstractNumId w:val="16"/>
  </w:num>
  <w:num w:numId="3">
    <w:abstractNumId w:val="23"/>
  </w:num>
  <w:num w:numId="4">
    <w:abstractNumId w:val="17"/>
  </w:num>
  <w:num w:numId="5">
    <w:abstractNumId w:val="3"/>
  </w:num>
  <w:num w:numId="6">
    <w:abstractNumId w:val="35"/>
  </w:num>
  <w:num w:numId="7">
    <w:abstractNumId w:val="0"/>
  </w:num>
  <w:num w:numId="8">
    <w:abstractNumId w:val="1"/>
  </w:num>
  <w:num w:numId="9">
    <w:abstractNumId w:val="14"/>
  </w:num>
  <w:num w:numId="10">
    <w:abstractNumId w:val="4"/>
  </w:num>
  <w:num w:numId="11">
    <w:abstractNumId w:val="25"/>
  </w:num>
  <w:num w:numId="12">
    <w:abstractNumId w:val="2"/>
  </w:num>
  <w:num w:numId="13">
    <w:abstractNumId w:val="18"/>
  </w:num>
  <w:num w:numId="14">
    <w:abstractNumId w:val="37"/>
  </w:num>
  <w:num w:numId="15">
    <w:abstractNumId w:val="30"/>
  </w:num>
  <w:num w:numId="16">
    <w:abstractNumId w:val="19"/>
  </w:num>
  <w:num w:numId="17">
    <w:abstractNumId w:val="13"/>
  </w:num>
  <w:num w:numId="18">
    <w:abstractNumId w:val="6"/>
  </w:num>
  <w:num w:numId="19">
    <w:abstractNumId w:val="10"/>
  </w:num>
  <w:num w:numId="20">
    <w:abstractNumId w:val="24"/>
  </w:num>
  <w:num w:numId="21">
    <w:abstractNumId w:val="20"/>
  </w:num>
  <w:num w:numId="22">
    <w:abstractNumId w:val="34"/>
  </w:num>
  <w:num w:numId="23">
    <w:abstractNumId w:val="7"/>
  </w:num>
  <w:num w:numId="24">
    <w:abstractNumId w:val="11"/>
  </w:num>
  <w:num w:numId="25">
    <w:abstractNumId w:val="9"/>
  </w:num>
  <w:num w:numId="26">
    <w:abstractNumId w:val="5"/>
  </w:num>
  <w:num w:numId="27">
    <w:abstractNumId w:val="28"/>
  </w:num>
  <w:num w:numId="28">
    <w:abstractNumId w:val="31"/>
  </w:num>
  <w:num w:numId="29">
    <w:abstractNumId w:val="12"/>
  </w:num>
  <w:num w:numId="30">
    <w:abstractNumId w:val="15"/>
  </w:num>
  <w:num w:numId="31">
    <w:abstractNumId w:val="36"/>
  </w:num>
  <w:num w:numId="32">
    <w:abstractNumId w:val="27"/>
  </w:num>
  <w:num w:numId="33">
    <w:abstractNumId w:val="29"/>
  </w:num>
  <w:num w:numId="34">
    <w:abstractNumId w:val="26"/>
  </w:num>
  <w:num w:numId="35">
    <w:abstractNumId w:val="8"/>
  </w:num>
  <w:num w:numId="36">
    <w:abstractNumId w:val="38"/>
  </w:num>
  <w:num w:numId="37">
    <w:abstractNumId w:val="22"/>
  </w:num>
  <w:num w:numId="38">
    <w:abstractNumId w:val="21"/>
  </w:num>
  <w:num w:numId="39">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5F05"/>
    <w:rsid w:val="00036836"/>
    <w:rsid w:val="0005777A"/>
    <w:rsid w:val="00064DB8"/>
    <w:rsid w:val="00065382"/>
    <w:rsid w:val="00080223"/>
    <w:rsid w:val="00097119"/>
    <w:rsid w:val="000A5309"/>
    <w:rsid w:val="000B289A"/>
    <w:rsid w:val="000C4B52"/>
    <w:rsid w:val="000D6A51"/>
    <w:rsid w:val="000E0B43"/>
    <w:rsid w:val="000F45A3"/>
    <w:rsid w:val="000F7D80"/>
    <w:rsid w:val="00106095"/>
    <w:rsid w:val="00110222"/>
    <w:rsid w:val="00112D34"/>
    <w:rsid w:val="00126689"/>
    <w:rsid w:val="00137DB7"/>
    <w:rsid w:val="00140DE4"/>
    <w:rsid w:val="001536C7"/>
    <w:rsid w:val="00155314"/>
    <w:rsid w:val="001571F3"/>
    <w:rsid w:val="00157D44"/>
    <w:rsid w:val="00160977"/>
    <w:rsid w:val="001825AC"/>
    <w:rsid w:val="0018385E"/>
    <w:rsid w:val="001A5993"/>
    <w:rsid w:val="001C0136"/>
    <w:rsid w:val="001C1EE3"/>
    <w:rsid w:val="001C713C"/>
    <w:rsid w:val="001D75B9"/>
    <w:rsid w:val="001F2AD2"/>
    <w:rsid w:val="00200F05"/>
    <w:rsid w:val="00203FD5"/>
    <w:rsid w:val="00212B34"/>
    <w:rsid w:val="002132E8"/>
    <w:rsid w:val="00220056"/>
    <w:rsid w:val="00231F9A"/>
    <w:rsid w:val="002421F0"/>
    <w:rsid w:val="002626ED"/>
    <w:rsid w:val="002658D3"/>
    <w:rsid w:val="00265A40"/>
    <w:rsid w:val="00267999"/>
    <w:rsid w:val="002705CE"/>
    <w:rsid w:val="00282FDE"/>
    <w:rsid w:val="0029130A"/>
    <w:rsid w:val="002B54C5"/>
    <w:rsid w:val="002B778C"/>
    <w:rsid w:val="002F7170"/>
    <w:rsid w:val="003033F6"/>
    <w:rsid w:val="0031312B"/>
    <w:rsid w:val="00326B77"/>
    <w:rsid w:val="003367C1"/>
    <w:rsid w:val="00366C60"/>
    <w:rsid w:val="00374772"/>
    <w:rsid w:val="00377FB3"/>
    <w:rsid w:val="003A4540"/>
    <w:rsid w:val="003B1EF2"/>
    <w:rsid w:val="003B4D7D"/>
    <w:rsid w:val="003C1CA3"/>
    <w:rsid w:val="003C2982"/>
    <w:rsid w:val="003D1E89"/>
    <w:rsid w:val="003D42BD"/>
    <w:rsid w:val="003E0AB3"/>
    <w:rsid w:val="003E3690"/>
    <w:rsid w:val="00401C42"/>
    <w:rsid w:val="00401F46"/>
    <w:rsid w:val="004076DE"/>
    <w:rsid w:val="004318EF"/>
    <w:rsid w:val="00435228"/>
    <w:rsid w:val="004532A5"/>
    <w:rsid w:val="00460AFB"/>
    <w:rsid w:val="00470130"/>
    <w:rsid w:val="00483B0A"/>
    <w:rsid w:val="00483BA8"/>
    <w:rsid w:val="00490E35"/>
    <w:rsid w:val="00495476"/>
    <w:rsid w:val="00497A74"/>
    <w:rsid w:val="004A26E2"/>
    <w:rsid w:val="004B5126"/>
    <w:rsid w:val="004B5B2E"/>
    <w:rsid w:val="004E502E"/>
    <w:rsid w:val="004F7838"/>
    <w:rsid w:val="004F7F0F"/>
    <w:rsid w:val="00503391"/>
    <w:rsid w:val="00552960"/>
    <w:rsid w:val="00557CEB"/>
    <w:rsid w:val="0056018A"/>
    <w:rsid w:val="00567344"/>
    <w:rsid w:val="00573ECC"/>
    <w:rsid w:val="005829DC"/>
    <w:rsid w:val="00587FDF"/>
    <w:rsid w:val="005975B8"/>
    <w:rsid w:val="005B5B93"/>
    <w:rsid w:val="005C0B4E"/>
    <w:rsid w:val="005C0E75"/>
    <w:rsid w:val="005C2672"/>
    <w:rsid w:val="005C2795"/>
    <w:rsid w:val="005C421F"/>
    <w:rsid w:val="005D0FA0"/>
    <w:rsid w:val="005E0B92"/>
    <w:rsid w:val="005F16F0"/>
    <w:rsid w:val="00606267"/>
    <w:rsid w:val="00610A2C"/>
    <w:rsid w:val="00613107"/>
    <w:rsid w:val="0063068E"/>
    <w:rsid w:val="00640346"/>
    <w:rsid w:val="006467EE"/>
    <w:rsid w:val="0065185D"/>
    <w:rsid w:val="0065397F"/>
    <w:rsid w:val="006648AC"/>
    <w:rsid w:val="00680629"/>
    <w:rsid w:val="00680ADF"/>
    <w:rsid w:val="00686C52"/>
    <w:rsid w:val="00694A82"/>
    <w:rsid w:val="00696DF9"/>
    <w:rsid w:val="006C31A7"/>
    <w:rsid w:val="006D7A41"/>
    <w:rsid w:val="006F1414"/>
    <w:rsid w:val="00700F21"/>
    <w:rsid w:val="00715F53"/>
    <w:rsid w:val="00741EDD"/>
    <w:rsid w:val="007432BF"/>
    <w:rsid w:val="00747A9C"/>
    <w:rsid w:val="007525BF"/>
    <w:rsid w:val="00762442"/>
    <w:rsid w:val="007655EB"/>
    <w:rsid w:val="00765F6A"/>
    <w:rsid w:val="00766F71"/>
    <w:rsid w:val="0077033B"/>
    <w:rsid w:val="007800DC"/>
    <w:rsid w:val="007838AA"/>
    <w:rsid w:val="00783D5E"/>
    <w:rsid w:val="00784402"/>
    <w:rsid w:val="00784956"/>
    <w:rsid w:val="00785FD6"/>
    <w:rsid w:val="007B212D"/>
    <w:rsid w:val="007F1199"/>
    <w:rsid w:val="007F4254"/>
    <w:rsid w:val="00806A61"/>
    <w:rsid w:val="008171DD"/>
    <w:rsid w:val="00824BFD"/>
    <w:rsid w:val="0082578E"/>
    <w:rsid w:val="00843BFE"/>
    <w:rsid w:val="008453B3"/>
    <w:rsid w:val="008509E9"/>
    <w:rsid w:val="00854DD8"/>
    <w:rsid w:val="00865E90"/>
    <w:rsid w:val="00892E47"/>
    <w:rsid w:val="008A7900"/>
    <w:rsid w:val="008C6B2D"/>
    <w:rsid w:val="008C7B46"/>
    <w:rsid w:val="008D0C9E"/>
    <w:rsid w:val="008D3B56"/>
    <w:rsid w:val="008D5CEF"/>
    <w:rsid w:val="008E5F03"/>
    <w:rsid w:val="0093339C"/>
    <w:rsid w:val="009360F9"/>
    <w:rsid w:val="009441AF"/>
    <w:rsid w:val="00956CFA"/>
    <w:rsid w:val="00964F00"/>
    <w:rsid w:val="009733C9"/>
    <w:rsid w:val="00994C43"/>
    <w:rsid w:val="00995A0C"/>
    <w:rsid w:val="00996EE6"/>
    <w:rsid w:val="009B511E"/>
    <w:rsid w:val="009D3AFA"/>
    <w:rsid w:val="009D4F66"/>
    <w:rsid w:val="009D72A0"/>
    <w:rsid w:val="009E0F5E"/>
    <w:rsid w:val="009F3A36"/>
    <w:rsid w:val="00A04E51"/>
    <w:rsid w:val="00A14BA9"/>
    <w:rsid w:val="00A21EB2"/>
    <w:rsid w:val="00A250A2"/>
    <w:rsid w:val="00A2559C"/>
    <w:rsid w:val="00A27A5A"/>
    <w:rsid w:val="00A31561"/>
    <w:rsid w:val="00A373BE"/>
    <w:rsid w:val="00A4214A"/>
    <w:rsid w:val="00A4730C"/>
    <w:rsid w:val="00A53140"/>
    <w:rsid w:val="00A541E0"/>
    <w:rsid w:val="00A54E95"/>
    <w:rsid w:val="00A80564"/>
    <w:rsid w:val="00A876F7"/>
    <w:rsid w:val="00A8772A"/>
    <w:rsid w:val="00A960B2"/>
    <w:rsid w:val="00AB7931"/>
    <w:rsid w:val="00AD1289"/>
    <w:rsid w:val="00AE6430"/>
    <w:rsid w:val="00AE6633"/>
    <w:rsid w:val="00AF5997"/>
    <w:rsid w:val="00B006C6"/>
    <w:rsid w:val="00B01FF1"/>
    <w:rsid w:val="00B325E7"/>
    <w:rsid w:val="00B72516"/>
    <w:rsid w:val="00B83105"/>
    <w:rsid w:val="00B875DA"/>
    <w:rsid w:val="00B92C97"/>
    <w:rsid w:val="00B94909"/>
    <w:rsid w:val="00BA3C70"/>
    <w:rsid w:val="00BB4E42"/>
    <w:rsid w:val="00BC0442"/>
    <w:rsid w:val="00BC1BE6"/>
    <w:rsid w:val="00BC6295"/>
    <w:rsid w:val="00BD20FB"/>
    <w:rsid w:val="00C01073"/>
    <w:rsid w:val="00C10F34"/>
    <w:rsid w:val="00C24BB7"/>
    <w:rsid w:val="00C320CF"/>
    <w:rsid w:val="00C37824"/>
    <w:rsid w:val="00C5621A"/>
    <w:rsid w:val="00C679D7"/>
    <w:rsid w:val="00C77578"/>
    <w:rsid w:val="00C855F6"/>
    <w:rsid w:val="00C87C4C"/>
    <w:rsid w:val="00C92F53"/>
    <w:rsid w:val="00CA1357"/>
    <w:rsid w:val="00CA285D"/>
    <w:rsid w:val="00CD18CC"/>
    <w:rsid w:val="00CD5223"/>
    <w:rsid w:val="00CE5010"/>
    <w:rsid w:val="00CE6E17"/>
    <w:rsid w:val="00CF059C"/>
    <w:rsid w:val="00D0528A"/>
    <w:rsid w:val="00D11B37"/>
    <w:rsid w:val="00D2501F"/>
    <w:rsid w:val="00D300E9"/>
    <w:rsid w:val="00D31FFB"/>
    <w:rsid w:val="00D342BC"/>
    <w:rsid w:val="00D35F03"/>
    <w:rsid w:val="00D408EF"/>
    <w:rsid w:val="00D5145C"/>
    <w:rsid w:val="00D5218F"/>
    <w:rsid w:val="00D53EB2"/>
    <w:rsid w:val="00D60E4F"/>
    <w:rsid w:val="00D64DAE"/>
    <w:rsid w:val="00D67021"/>
    <w:rsid w:val="00D72024"/>
    <w:rsid w:val="00D729A1"/>
    <w:rsid w:val="00D75908"/>
    <w:rsid w:val="00D80074"/>
    <w:rsid w:val="00D87E11"/>
    <w:rsid w:val="00D94D7F"/>
    <w:rsid w:val="00DA2BDA"/>
    <w:rsid w:val="00DA3834"/>
    <w:rsid w:val="00DB2A94"/>
    <w:rsid w:val="00DB5225"/>
    <w:rsid w:val="00DB5435"/>
    <w:rsid w:val="00DC4DC6"/>
    <w:rsid w:val="00DD1E5E"/>
    <w:rsid w:val="00DD51F1"/>
    <w:rsid w:val="00DE6417"/>
    <w:rsid w:val="00DE6912"/>
    <w:rsid w:val="00E14026"/>
    <w:rsid w:val="00E1627A"/>
    <w:rsid w:val="00E34C35"/>
    <w:rsid w:val="00E650A8"/>
    <w:rsid w:val="00E66301"/>
    <w:rsid w:val="00E669EE"/>
    <w:rsid w:val="00E82BF0"/>
    <w:rsid w:val="00E878B4"/>
    <w:rsid w:val="00EB3D00"/>
    <w:rsid w:val="00EC5674"/>
    <w:rsid w:val="00F156D2"/>
    <w:rsid w:val="00F253C4"/>
    <w:rsid w:val="00F259A0"/>
    <w:rsid w:val="00F27D93"/>
    <w:rsid w:val="00F3236D"/>
    <w:rsid w:val="00F34BD7"/>
    <w:rsid w:val="00F60849"/>
    <w:rsid w:val="00F67864"/>
    <w:rsid w:val="00F70B67"/>
    <w:rsid w:val="00F71720"/>
    <w:rsid w:val="00F77334"/>
    <w:rsid w:val="00F8052E"/>
    <w:rsid w:val="00FD2032"/>
    <w:rsid w:val="00FE040F"/>
    <w:rsid w:val="00FE42B3"/>
    <w:rsid w:val="0133784E"/>
    <w:rsid w:val="014832F2"/>
    <w:rsid w:val="014D51C1"/>
    <w:rsid w:val="01707B35"/>
    <w:rsid w:val="01714809"/>
    <w:rsid w:val="01C52478"/>
    <w:rsid w:val="02184C85"/>
    <w:rsid w:val="027408EE"/>
    <w:rsid w:val="02963F39"/>
    <w:rsid w:val="029C4C37"/>
    <w:rsid w:val="02BA7274"/>
    <w:rsid w:val="02BF5DB0"/>
    <w:rsid w:val="03251978"/>
    <w:rsid w:val="0325718A"/>
    <w:rsid w:val="033D69C3"/>
    <w:rsid w:val="03527279"/>
    <w:rsid w:val="03722761"/>
    <w:rsid w:val="038B0255"/>
    <w:rsid w:val="039A338F"/>
    <w:rsid w:val="039E25ED"/>
    <w:rsid w:val="03A10C87"/>
    <w:rsid w:val="042921B6"/>
    <w:rsid w:val="04AD02B8"/>
    <w:rsid w:val="04DF17D4"/>
    <w:rsid w:val="05151950"/>
    <w:rsid w:val="05412745"/>
    <w:rsid w:val="05491761"/>
    <w:rsid w:val="05A351AD"/>
    <w:rsid w:val="05C234EE"/>
    <w:rsid w:val="05D95918"/>
    <w:rsid w:val="05DF009E"/>
    <w:rsid w:val="05F9748A"/>
    <w:rsid w:val="06032214"/>
    <w:rsid w:val="06041959"/>
    <w:rsid w:val="060B4B7B"/>
    <w:rsid w:val="06132F28"/>
    <w:rsid w:val="06160D68"/>
    <w:rsid w:val="06266F78"/>
    <w:rsid w:val="063E7B7A"/>
    <w:rsid w:val="06582413"/>
    <w:rsid w:val="066C6EAE"/>
    <w:rsid w:val="067C1AC3"/>
    <w:rsid w:val="067E33B8"/>
    <w:rsid w:val="069C2954"/>
    <w:rsid w:val="06C11211"/>
    <w:rsid w:val="06E82FCB"/>
    <w:rsid w:val="06F34B95"/>
    <w:rsid w:val="07083FD7"/>
    <w:rsid w:val="071F0C1A"/>
    <w:rsid w:val="07571DAC"/>
    <w:rsid w:val="07876FF4"/>
    <w:rsid w:val="078A0D17"/>
    <w:rsid w:val="07D23704"/>
    <w:rsid w:val="08000695"/>
    <w:rsid w:val="08332819"/>
    <w:rsid w:val="089514C7"/>
    <w:rsid w:val="08DF2E30"/>
    <w:rsid w:val="08E64121"/>
    <w:rsid w:val="090D5816"/>
    <w:rsid w:val="09380E4E"/>
    <w:rsid w:val="0942017F"/>
    <w:rsid w:val="094D5FE4"/>
    <w:rsid w:val="09774637"/>
    <w:rsid w:val="09BA1FBB"/>
    <w:rsid w:val="09CB139F"/>
    <w:rsid w:val="09D73678"/>
    <w:rsid w:val="0A0106F5"/>
    <w:rsid w:val="0A112AB7"/>
    <w:rsid w:val="0A447F32"/>
    <w:rsid w:val="0A7F7554"/>
    <w:rsid w:val="0A9770CC"/>
    <w:rsid w:val="0ACB1DA6"/>
    <w:rsid w:val="0AD71BC7"/>
    <w:rsid w:val="0ADB7197"/>
    <w:rsid w:val="0AF420EB"/>
    <w:rsid w:val="0B2B2BF5"/>
    <w:rsid w:val="0B2F3908"/>
    <w:rsid w:val="0B3F6206"/>
    <w:rsid w:val="0B485953"/>
    <w:rsid w:val="0B6A1E76"/>
    <w:rsid w:val="0BAD0D35"/>
    <w:rsid w:val="0BDB06E0"/>
    <w:rsid w:val="0BE12DB6"/>
    <w:rsid w:val="0BE65DB3"/>
    <w:rsid w:val="0C345AD1"/>
    <w:rsid w:val="0C626CE4"/>
    <w:rsid w:val="0C851B7F"/>
    <w:rsid w:val="0D0C2B7B"/>
    <w:rsid w:val="0D9308F8"/>
    <w:rsid w:val="0E0908A4"/>
    <w:rsid w:val="0E1A1D85"/>
    <w:rsid w:val="0E2350DD"/>
    <w:rsid w:val="0E696120"/>
    <w:rsid w:val="0E750568"/>
    <w:rsid w:val="0EB93A32"/>
    <w:rsid w:val="0EE11427"/>
    <w:rsid w:val="0F2D7A80"/>
    <w:rsid w:val="0F36499C"/>
    <w:rsid w:val="0F4277E5"/>
    <w:rsid w:val="0FA75561"/>
    <w:rsid w:val="0FB83603"/>
    <w:rsid w:val="0FCA77F1"/>
    <w:rsid w:val="0FCD5DCC"/>
    <w:rsid w:val="0FE06C0E"/>
    <w:rsid w:val="0FF74621"/>
    <w:rsid w:val="10270545"/>
    <w:rsid w:val="108A1D4B"/>
    <w:rsid w:val="10A10111"/>
    <w:rsid w:val="10BE093E"/>
    <w:rsid w:val="110F6D60"/>
    <w:rsid w:val="111B0FE9"/>
    <w:rsid w:val="11480AE8"/>
    <w:rsid w:val="115F67A8"/>
    <w:rsid w:val="118B5473"/>
    <w:rsid w:val="119A7465"/>
    <w:rsid w:val="11C07DA5"/>
    <w:rsid w:val="12491386"/>
    <w:rsid w:val="12746E74"/>
    <w:rsid w:val="12E60579"/>
    <w:rsid w:val="130D3C66"/>
    <w:rsid w:val="13695B36"/>
    <w:rsid w:val="1372609F"/>
    <w:rsid w:val="14092DB2"/>
    <w:rsid w:val="140E390C"/>
    <w:rsid w:val="142D2826"/>
    <w:rsid w:val="145A6A37"/>
    <w:rsid w:val="1467440F"/>
    <w:rsid w:val="14F73019"/>
    <w:rsid w:val="15433A9B"/>
    <w:rsid w:val="15D13671"/>
    <w:rsid w:val="15FC2F04"/>
    <w:rsid w:val="15FD3709"/>
    <w:rsid w:val="16181FAC"/>
    <w:rsid w:val="166050EB"/>
    <w:rsid w:val="167D1808"/>
    <w:rsid w:val="168756A0"/>
    <w:rsid w:val="16DF23DD"/>
    <w:rsid w:val="16E7142F"/>
    <w:rsid w:val="16F94849"/>
    <w:rsid w:val="17045E51"/>
    <w:rsid w:val="172011D4"/>
    <w:rsid w:val="17252C3B"/>
    <w:rsid w:val="173F0A2E"/>
    <w:rsid w:val="17770BC2"/>
    <w:rsid w:val="17793FC0"/>
    <w:rsid w:val="17860E2F"/>
    <w:rsid w:val="17A119AA"/>
    <w:rsid w:val="17AF1095"/>
    <w:rsid w:val="17C55E7C"/>
    <w:rsid w:val="18586F2B"/>
    <w:rsid w:val="19053D5D"/>
    <w:rsid w:val="192F3CC4"/>
    <w:rsid w:val="1935690C"/>
    <w:rsid w:val="19A766B9"/>
    <w:rsid w:val="19BE4F9F"/>
    <w:rsid w:val="19CE76BA"/>
    <w:rsid w:val="19F26070"/>
    <w:rsid w:val="19F97C8B"/>
    <w:rsid w:val="1A1523CE"/>
    <w:rsid w:val="1A21343D"/>
    <w:rsid w:val="1A555D89"/>
    <w:rsid w:val="1A722F70"/>
    <w:rsid w:val="1AA730BD"/>
    <w:rsid w:val="1ABD4410"/>
    <w:rsid w:val="1B333D5D"/>
    <w:rsid w:val="1B587618"/>
    <w:rsid w:val="1B5F19C7"/>
    <w:rsid w:val="1BB82B8C"/>
    <w:rsid w:val="1BE85FD5"/>
    <w:rsid w:val="1C071E75"/>
    <w:rsid w:val="1C1C709B"/>
    <w:rsid w:val="1C6F5D50"/>
    <w:rsid w:val="1C9F6814"/>
    <w:rsid w:val="1D5C514E"/>
    <w:rsid w:val="1D834723"/>
    <w:rsid w:val="1D85395E"/>
    <w:rsid w:val="1D865D14"/>
    <w:rsid w:val="1D8705EC"/>
    <w:rsid w:val="1E43150B"/>
    <w:rsid w:val="1E635E0D"/>
    <w:rsid w:val="1EA93E80"/>
    <w:rsid w:val="1EC024D4"/>
    <w:rsid w:val="1ED33FB6"/>
    <w:rsid w:val="1EE81332"/>
    <w:rsid w:val="1EED2D98"/>
    <w:rsid w:val="1F32415A"/>
    <w:rsid w:val="1F3B094B"/>
    <w:rsid w:val="1F5A4199"/>
    <w:rsid w:val="1F7E2174"/>
    <w:rsid w:val="1FC32513"/>
    <w:rsid w:val="20107567"/>
    <w:rsid w:val="208717DB"/>
    <w:rsid w:val="20AB56C6"/>
    <w:rsid w:val="20E17EDB"/>
    <w:rsid w:val="21253EF1"/>
    <w:rsid w:val="2176507C"/>
    <w:rsid w:val="21BA10C4"/>
    <w:rsid w:val="21BE35AF"/>
    <w:rsid w:val="21C11174"/>
    <w:rsid w:val="22244B28"/>
    <w:rsid w:val="22467FD4"/>
    <w:rsid w:val="22536620"/>
    <w:rsid w:val="22784511"/>
    <w:rsid w:val="229451FD"/>
    <w:rsid w:val="22A12DB6"/>
    <w:rsid w:val="230B2F77"/>
    <w:rsid w:val="234E7F91"/>
    <w:rsid w:val="23533917"/>
    <w:rsid w:val="236356D1"/>
    <w:rsid w:val="23A91C83"/>
    <w:rsid w:val="23C962E8"/>
    <w:rsid w:val="23ED0417"/>
    <w:rsid w:val="246439BC"/>
    <w:rsid w:val="247E4FED"/>
    <w:rsid w:val="24B30BE8"/>
    <w:rsid w:val="24C6643F"/>
    <w:rsid w:val="24E34060"/>
    <w:rsid w:val="24EF2718"/>
    <w:rsid w:val="253A0491"/>
    <w:rsid w:val="253D4C0F"/>
    <w:rsid w:val="25CC0AA5"/>
    <w:rsid w:val="25E036B2"/>
    <w:rsid w:val="25E9082A"/>
    <w:rsid w:val="25F42473"/>
    <w:rsid w:val="26371997"/>
    <w:rsid w:val="26894267"/>
    <w:rsid w:val="26AF2D79"/>
    <w:rsid w:val="26B34B91"/>
    <w:rsid w:val="270D66E8"/>
    <w:rsid w:val="27151D45"/>
    <w:rsid w:val="271D6ECC"/>
    <w:rsid w:val="27514612"/>
    <w:rsid w:val="27597388"/>
    <w:rsid w:val="278B0DAB"/>
    <w:rsid w:val="279C6B0E"/>
    <w:rsid w:val="279E140F"/>
    <w:rsid w:val="27A241B6"/>
    <w:rsid w:val="27A64735"/>
    <w:rsid w:val="27CC4DF2"/>
    <w:rsid w:val="281864F2"/>
    <w:rsid w:val="28316337"/>
    <w:rsid w:val="286903EF"/>
    <w:rsid w:val="287F5DD3"/>
    <w:rsid w:val="288047CB"/>
    <w:rsid w:val="288A7505"/>
    <w:rsid w:val="289E62FA"/>
    <w:rsid w:val="291E2CA6"/>
    <w:rsid w:val="29331862"/>
    <w:rsid w:val="299E147F"/>
    <w:rsid w:val="29C32A87"/>
    <w:rsid w:val="29CF26DC"/>
    <w:rsid w:val="2A1C5DA0"/>
    <w:rsid w:val="2A200D39"/>
    <w:rsid w:val="2A507EFF"/>
    <w:rsid w:val="2A6579DF"/>
    <w:rsid w:val="2A7C0FC7"/>
    <w:rsid w:val="2ACF200F"/>
    <w:rsid w:val="2ADC05A4"/>
    <w:rsid w:val="2B0423C1"/>
    <w:rsid w:val="2B4544FA"/>
    <w:rsid w:val="2B54318E"/>
    <w:rsid w:val="2B6F0D7F"/>
    <w:rsid w:val="2B797443"/>
    <w:rsid w:val="2B8716BD"/>
    <w:rsid w:val="2B8B76FF"/>
    <w:rsid w:val="2BA04BD8"/>
    <w:rsid w:val="2BC22DD1"/>
    <w:rsid w:val="2BD5034F"/>
    <w:rsid w:val="2BE77C84"/>
    <w:rsid w:val="2C0B6845"/>
    <w:rsid w:val="2C362F31"/>
    <w:rsid w:val="2C60275E"/>
    <w:rsid w:val="2C74067E"/>
    <w:rsid w:val="2C9E432B"/>
    <w:rsid w:val="2D025012"/>
    <w:rsid w:val="2D4178F0"/>
    <w:rsid w:val="2DA535EC"/>
    <w:rsid w:val="2DA92C79"/>
    <w:rsid w:val="2DAE631A"/>
    <w:rsid w:val="2DCF7E57"/>
    <w:rsid w:val="2DD877E0"/>
    <w:rsid w:val="2DE616C9"/>
    <w:rsid w:val="2DFC2451"/>
    <w:rsid w:val="2E3422F8"/>
    <w:rsid w:val="2E392F37"/>
    <w:rsid w:val="2E536027"/>
    <w:rsid w:val="2E6D31FB"/>
    <w:rsid w:val="2E6D565A"/>
    <w:rsid w:val="2E6E566D"/>
    <w:rsid w:val="2E7F188E"/>
    <w:rsid w:val="2EBC0905"/>
    <w:rsid w:val="2EC73739"/>
    <w:rsid w:val="2EFB1B0E"/>
    <w:rsid w:val="2F5C684F"/>
    <w:rsid w:val="303A20E7"/>
    <w:rsid w:val="307776D1"/>
    <w:rsid w:val="30862574"/>
    <w:rsid w:val="30B631E1"/>
    <w:rsid w:val="30C12E8B"/>
    <w:rsid w:val="311933AA"/>
    <w:rsid w:val="313047C4"/>
    <w:rsid w:val="317D15BB"/>
    <w:rsid w:val="31A67308"/>
    <w:rsid w:val="31D07E6C"/>
    <w:rsid w:val="32185CA8"/>
    <w:rsid w:val="323F65DA"/>
    <w:rsid w:val="32412074"/>
    <w:rsid w:val="325B63D6"/>
    <w:rsid w:val="32745B63"/>
    <w:rsid w:val="32A0644D"/>
    <w:rsid w:val="32DE0199"/>
    <w:rsid w:val="335B2774"/>
    <w:rsid w:val="33A4642E"/>
    <w:rsid w:val="33A877AB"/>
    <w:rsid w:val="33D4039C"/>
    <w:rsid w:val="33D47E05"/>
    <w:rsid w:val="340017FF"/>
    <w:rsid w:val="3413677D"/>
    <w:rsid w:val="342B544B"/>
    <w:rsid w:val="34301664"/>
    <w:rsid w:val="343839A4"/>
    <w:rsid w:val="345E036E"/>
    <w:rsid w:val="34DE1E4F"/>
    <w:rsid w:val="34F07DB1"/>
    <w:rsid w:val="35515F3D"/>
    <w:rsid w:val="358D07D1"/>
    <w:rsid w:val="359F7456"/>
    <w:rsid w:val="35B0692A"/>
    <w:rsid w:val="35D354B8"/>
    <w:rsid w:val="35D4025C"/>
    <w:rsid w:val="35F516ED"/>
    <w:rsid w:val="35FC2392"/>
    <w:rsid w:val="362666BC"/>
    <w:rsid w:val="362B2205"/>
    <w:rsid w:val="362D71B8"/>
    <w:rsid w:val="368A6B11"/>
    <w:rsid w:val="36A77DAA"/>
    <w:rsid w:val="37085B1F"/>
    <w:rsid w:val="370A19E9"/>
    <w:rsid w:val="372E04CB"/>
    <w:rsid w:val="37742729"/>
    <w:rsid w:val="37C85FF9"/>
    <w:rsid w:val="37DB5D8E"/>
    <w:rsid w:val="387260AA"/>
    <w:rsid w:val="388614C8"/>
    <w:rsid w:val="389F67CD"/>
    <w:rsid w:val="38D55634"/>
    <w:rsid w:val="38E070F2"/>
    <w:rsid w:val="390B0AC4"/>
    <w:rsid w:val="390D04A7"/>
    <w:rsid w:val="390D33AB"/>
    <w:rsid w:val="391E6D06"/>
    <w:rsid w:val="39CE5179"/>
    <w:rsid w:val="3A074847"/>
    <w:rsid w:val="3AA755B1"/>
    <w:rsid w:val="3AA90FE6"/>
    <w:rsid w:val="3AA9318F"/>
    <w:rsid w:val="3AB62DA0"/>
    <w:rsid w:val="3AC61BD3"/>
    <w:rsid w:val="3B0E41A9"/>
    <w:rsid w:val="3B273268"/>
    <w:rsid w:val="3B3B6363"/>
    <w:rsid w:val="3B7D3FD5"/>
    <w:rsid w:val="3B823DDF"/>
    <w:rsid w:val="3C084B3D"/>
    <w:rsid w:val="3C0B5A9E"/>
    <w:rsid w:val="3C237ED3"/>
    <w:rsid w:val="3C60089E"/>
    <w:rsid w:val="3C91192E"/>
    <w:rsid w:val="3CAA596A"/>
    <w:rsid w:val="3CB1587B"/>
    <w:rsid w:val="3CB735F2"/>
    <w:rsid w:val="3D186684"/>
    <w:rsid w:val="3D363C36"/>
    <w:rsid w:val="3D4C7C96"/>
    <w:rsid w:val="3D8B2178"/>
    <w:rsid w:val="3DB34909"/>
    <w:rsid w:val="3DD115F5"/>
    <w:rsid w:val="3DE435F0"/>
    <w:rsid w:val="3DE5122C"/>
    <w:rsid w:val="3DF37E53"/>
    <w:rsid w:val="3E1F280B"/>
    <w:rsid w:val="3E2609B2"/>
    <w:rsid w:val="3ED26DE9"/>
    <w:rsid w:val="3EED17D0"/>
    <w:rsid w:val="3F0C0304"/>
    <w:rsid w:val="3FE25AA0"/>
    <w:rsid w:val="3FEC147E"/>
    <w:rsid w:val="40086734"/>
    <w:rsid w:val="4024153A"/>
    <w:rsid w:val="403703F1"/>
    <w:rsid w:val="40376375"/>
    <w:rsid w:val="40EF47EC"/>
    <w:rsid w:val="40F441C9"/>
    <w:rsid w:val="412732B7"/>
    <w:rsid w:val="4127791F"/>
    <w:rsid w:val="41281794"/>
    <w:rsid w:val="412A6279"/>
    <w:rsid w:val="413C1FDF"/>
    <w:rsid w:val="41806A69"/>
    <w:rsid w:val="41B0259C"/>
    <w:rsid w:val="41B27457"/>
    <w:rsid w:val="41BC6F1C"/>
    <w:rsid w:val="41EF2363"/>
    <w:rsid w:val="41F77860"/>
    <w:rsid w:val="424A4B98"/>
    <w:rsid w:val="42581D3A"/>
    <w:rsid w:val="4262787F"/>
    <w:rsid w:val="42FE0080"/>
    <w:rsid w:val="43303F0B"/>
    <w:rsid w:val="43315D2E"/>
    <w:rsid w:val="43824A1C"/>
    <w:rsid w:val="4390486D"/>
    <w:rsid w:val="43D110E1"/>
    <w:rsid w:val="43E873C9"/>
    <w:rsid w:val="441540A8"/>
    <w:rsid w:val="44154973"/>
    <w:rsid w:val="441618DE"/>
    <w:rsid w:val="44250817"/>
    <w:rsid w:val="44905B1F"/>
    <w:rsid w:val="45007767"/>
    <w:rsid w:val="45316885"/>
    <w:rsid w:val="4577147D"/>
    <w:rsid w:val="45A95EE9"/>
    <w:rsid w:val="45FB0F21"/>
    <w:rsid w:val="46167166"/>
    <w:rsid w:val="461A2194"/>
    <w:rsid w:val="465E515F"/>
    <w:rsid w:val="471B324C"/>
    <w:rsid w:val="47200EE3"/>
    <w:rsid w:val="47435AC2"/>
    <w:rsid w:val="47544B78"/>
    <w:rsid w:val="47587AF7"/>
    <w:rsid w:val="47745A86"/>
    <w:rsid w:val="477D7ED7"/>
    <w:rsid w:val="478255BB"/>
    <w:rsid w:val="47E239AC"/>
    <w:rsid w:val="480C3F11"/>
    <w:rsid w:val="480F4B73"/>
    <w:rsid w:val="482F5B69"/>
    <w:rsid w:val="48334AEC"/>
    <w:rsid w:val="4845006E"/>
    <w:rsid w:val="48534A6D"/>
    <w:rsid w:val="48A47EB8"/>
    <w:rsid w:val="48DB38E3"/>
    <w:rsid w:val="49001B5E"/>
    <w:rsid w:val="490552B7"/>
    <w:rsid w:val="49376DB0"/>
    <w:rsid w:val="49804BB7"/>
    <w:rsid w:val="49826DCB"/>
    <w:rsid w:val="499013E7"/>
    <w:rsid w:val="49C8088A"/>
    <w:rsid w:val="49CB3D06"/>
    <w:rsid w:val="4A301C93"/>
    <w:rsid w:val="4A3302AB"/>
    <w:rsid w:val="4A495C63"/>
    <w:rsid w:val="4A7F3A12"/>
    <w:rsid w:val="4AC85D49"/>
    <w:rsid w:val="4AE308A9"/>
    <w:rsid w:val="4B294DDA"/>
    <w:rsid w:val="4B8B712B"/>
    <w:rsid w:val="4B9A1456"/>
    <w:rsid w:val="4BA32C82"/>
    <w:rsid w:val="4BB072A9"/>
    <w:rsid w:val="4BD73978"/>
    <w:rsid w:val="4BE70627"/>
    <w:rsid w:val="4C0A5AE1"/>
    <w:rsid w:val="4C130AB8"/>
    <w:rsid w:val="4C155749"/>
    <w:rsid w:val="4C391ADB"/>
    <w:rsid w:val="4C436FC4"/>
    <w:rsid w:val="4C5A284D"/>
    <w:rsid w:val="4C63431C"/>
    <w:rsid w:val="4CB96B43"/>
    <w:rsid w:val="4CC75FCC"/>
    <w:rsid w:val="4CCF0B1D"/>
    <w:rsid w:val="4CD63947"/>
    <w:rsid w:val="4CFC49F4"/>
    <w:rsid w:val="4D073D73"/>
    <w:rsid w:val="4D1E27BA"/>
    <w:rsid w:val="4D23574A"/>
    <w:rsid w:val="4D4C4DB0"/>
    <w:rsid w:val="4D6238ED"/>
    <w:rsid w:val="4D7322D5"/>
    <w:rsid w:val="4DD7034C"/>
    <w:rsid w:val="4DE312CB"/>
    <w:rsid w:val="4DF5318E"/>
    <w:rsid w:val="4E1F4862"/>
    <w:rsid w:val="4E2E4393"/>
    <w:rsid w:val="4E3C2528"/>
    <w:rsid w:val="4E535EF2"/>
    <w:rsid w:val="4E7A2F19"/>
    <w:rsid w:val="4EB237AC"/>
    <w:rsid w:val="4EF11A75"/>
    <w:rsid w:val="4F08773C"/>
    <w:rsid w:val="4F1123F9"/>
    <w:rsid w:val="4F31409F"/>
    <w:rsid w:val="4F5E670E"/>
    <w:rsid w:val="4F607E3B"/>
    <w:rsid w:val="4F770647"/>
    <w:rsid w:val="4F846A83"/>
    <w:rsid w:val="50070E2C"/>
    <w:rsid w:val="504B57F2"/>
    <w:rsid w:val="509A4341"/>
    <w:rsid w:val="50B05172"/>
    <w:rsid w:val="50C62BC7"/>
    <w:rsid w:val="50F72A66"/>
    <w:rsid w:val="5123368C"/>
    <w:rsid w:val="5130747C"/>
    <w:rsid w:val="515C765A"/>
    <w:rsid w:val="515E0B8A"/>
    <w:rsid w:val="516610D8"/>
    <w:rsid w:val="516A1A68"/>
    <w:rsid w:val="51905BB3"/>
    <w:rsid w:val="51946FCB"/>
    <w:rsid w:val="51CC31EB"/>
    <w:rsid w:val="51DD796B"/>
    <w:rsid w:val="51DF373B"/>
    <w:rsid w:val="528043E7"/>
    <w:rsid w:val="52AD0F6F"/>
    <w:rsid w:val="52DA4591"/>
    <w:rsid w:val="52EF4CB5"/>
    <w:rsid w:val="52F959F0"/>
    <w:rsid w:val="5302488E"/>
    <w:rsid w:val="5307426A"/>
    <w:rsid w:val="53136173"/>
    <w:rsid w:val="53951560"/>
    <w:rsid w:val="539A4AC7"/>
    <w:rsid w:val="53A454FB"/>
    <w:rsid w:val="53D004E8"/>
    <w:rsid w:val="53D262F7"/>
    <w:rsid w:val="54252C7A"/>
    <w:rsid w:val="542631B6"/>
    <w:rsid w:val="545F0C78"/>
    <w:rsid w:val="54601C62"/>
    <w:rsid w:val="54647343"/>
    <w:rsid w:val="54813CFC"/>
    <w:rsid w:val="54A61722"/>
    <w:rsid w:val="54B31FAF"/>
    <w:rsid w:val="54E26C0B"/>
    <w:rsid w:val="54FB4092"/>
    <w:rsid w:val="55326D63"/>
    <w:rsid w:val="555D1A10"/>
    <w:rsid w:val="55BE344D"/>
    <w:rsid w:val="55CE2B4A"/>
    <w:rsid w:val="56AC4A78"/>
    <w:rsid w:val="56B1063E"/>
    <w:rsid w:val="56B63E52"/>
    <w:rsid w:val="56DB16B9"/>
    <w:rsid w:val="574436DA"/>
    <w:rsid w:val="57772F69"/>
    <w:rsid w:val="577A3463"/>
    <w:rsid w:val="57851FA6"/>
    <w:rsid w:val="57F967AD"/>
    <w:rsid w:val="58052975"/>
    <w:rsid w:val="58340E9D"/>
    <w:rsid w:val="587266D8"/>
    <w:rsid w:val="58E525CA"/>
    <w:rsid w:val="58FD43FD"/>
    <w:rsid w:val="59080439"/>
    <w:rsid w:val="593D045A"/>
    <w:rsid w:val="593D6AE4"/>
    <w:rsid w:val="5960739E"/>
    <w:rsid w:val="59896D0A"/>
    <w:rsid w:val="59B72684"/>
    <w:rsid w:val="59CC6E29"/>
    <w:rsid w:val="59CE7D0B"/>
    <w:rsid w:val="5A082249"/>
    <w:rsid w:val="5A561066"/>
    <w:rsid w:val="5A84304F"/>
    <w:rsid w:val="5A9579AE"/>
    <w:rsid w:val="5AA63999"/>
    <w:rsid w:val="5AC468CD"/>
    <w:rsid w:val="5AD813C2"/>
    <w:rsid w:val="5B1634F8"/>
    <w:rsid w:val="5B342B9A"/>
    <w:rsid w:val="5B5953B0"/>
    <w:rsid w:val="5B5B1AB4"/>
    <w:rsid w:val="5B630802"/>
    <w:rsid w:val="5B807F68"/>
    <w:rsid w:val="5B9F5D96"/>
    <w:rsid w:val="5BC94C7C"/>
    <w:rsid w:val="5BFB631F"/>
    <w:rsid w:val="5C034D53"/>
    <w:rsid w:val="5C495A77"/>
    <w:rsid w:val="5C5139A3"/>
    <w:rsid w:val="5C87659C"/>
    <w:rsid w:val="5C903B7A"/>
    <w:rsid w:val="5D166FEC"/>
    <w:rsid w:val="5D2109C8"/>
    <w:rsid w:val="5D32715B"/>
    <w:rsid w:val="5D6B351A"/>
    <w:rsid w:val="5DF94293"/>
    <w:rsid w:val="5E1D6F56"/>
    <w:rsid w:val="5E52187F"/>
    <w:rsid w:val="5E6A13CD"/>
    <w:rsid w:val="5E705D15"/>
    <w:rsid w:val="5E92274E"/>
    <w:rsid w:val="5E93326C"/>
    <w:rsid w:val="5E9F1A7A"/>
    <w:rsid w:val="5EAA6F51"/>
    <w:rsid w:val="5EFB4BA4"/>
    <w:rsid w:val="5F125F0A"/>
    <w:rsid w:val="5F541AED"/>
    <w:rsid w:val="5F5F46B5"/>
    <w:rsid w:val="5F895CFD"/>
    <w:rsid w:val="5FA476D1"/>
    <w:rsid w:val="5FB25360"/>
    <w:rsid w:val="5FBA3CC0"/>
    <w:rsid w:val="5FC45EE2"/>
    <w:rsid w:val="5FD90D61"/>
    <w:rsid w:val="60177697"/>
    <w:rsid w:val="602329DB"/>
    <w:rsid w:val="602C13CC"/>
    <w:rsid w:val="605A3CA3"/>
    <w:rsid w:val="607777D6"/>
    <w:rsid w:val="60867FEA"/>
    <w:rsid w:val="60911000"/>
    <w:rsid w:val="60BC76A1"/>
    <w:rsid w:val="60F60B1B"/>
    <w:rsid w:val="610B7637"/>
    <w:rsid w:val="615F5624"/>
    <w:rsid w:val="61847970"/>
    <w:rsid w:val="619C18BE"/>
    <w:rsid w:val="61AD71CC"/>
    <w:rsid w:val="61BE4076"/>
    <w:rsid w:val="61D215CF"/>
    <w:rsid w:val="622C5484"/>
    <w:rsid w:val="625C563D"/>
    <w:rsid w:val="626A1704"/>
    <w:rsid w:val="62AD7E76"/>
    <w:rsid w:val="62B362C8"/>
    <w:rsid w:val="62C1330E"/>
    <w:rsid w:val="630C5A29"/>
    <w:rsid w:val="6342085E"/>
    <w:rsid w:val="636F415C"/>
    <w:rsid w:val="645B5526"/>
    <w:rsid w:val="64785A9C"/>
    <w:rsid w:val="64917820"/>
    <w:rsid w:val="64AA1CC5"/>
    <w:rsid w:val="64DF779B"/>
    <w:rsid w:val="650E79BA"/>
    <w:rsid w:val="651D5BE5"/>
    <w:rsid w:val="655F1E1A"/>
    <w:rsid w:val="656B2909"/>
    <w:rsid w:val="657D5B4F"/>
    <w:rsid w:val="65914A0B"/>
    <w:rsid w:val="65A3045D"/>
    <w:rsid w:val="65B7595C"/>
    <w:rsid w:val="65CE19A5"/>
    <w:rsid w:val="65D97752"/>
    <w:rsid w:val="65E25E59"/>
    <w:rsid w:val="661047DD"/>
    <w:rsid w:val="66240220"/>
    <w:rsid w:val="66307F76"/>
    <w:rsid w:val="66580EAF"/>
    <w:rsid w:val="66694D0D"/>
    <w:rsid w:val="667B4472"/>
    <w:rsid w:val="66A562F6"/>
    <w:rsid w:val="66F041A8"/>
    <w:rsid w:val="67056EA1"/>
    <w:rsid w:val="671109C3"/>
    <w:rsid w:val="6721178A"/>
    <w:rsid w:val="6739399A"/>
    <w:rsid w:val="673F39DE"/>
    <w:rsid w:val="674C5D22"/>
    <w:rsid w:val="67663AF8"/>
    <w:rsid w:val="67762CFD"/>
    <w:rsid w:val="6777598C"/>
    <w:rsid w:val="677A678D"/>
    <w:rsid w:val="677F20F7"/>
    <w:rsid w:val="67811082"/>
    <w:rsid w:val="67903352"/>
    <w:rsid w:val="67936CBD"/>
    <w:rsid w:val="68011379"/>
    <w:rsid w:val="68252C37"/>
    <w:rsid w:val="68567453"/>
    <w:rsid w:val="68817BAC"/>
    <w:rsid w:val="689A5E59"/>
    <w:rsid w:val="68D22020"/>
    <w:rsid w:val="68E91861"/>
    <w:rsid w:val="68EE72DF"/>
    <w:rsid w:val="690F0B4D"/>
    <w:rsid w:val="691F1C81"/>
    <w:rsid w:val="692E2EB0"/>
    <w:rsid w:val="69320B23"/>
    <w:rsid w:val="69485FEA"/>
    <w:rsid w:val="694C7BCA"/>
    <w:rsid w:val="69677DC0"/>
    <w:rsid w:val="69684298"/>
    <w:rsid w:val="69937EC7"/>
    <w:rsid w:val="69D64558"/>
    <w:rsid w:val="69E24E99"/>
    <w:rsid w:val="6A042548"/>
    <w:rsid w:val="6A1A53E9"/>
    <w:rsid w:val="6A471EFD"/>
    <w:rsid w:val="6A7F64C7"/>
    <w:rsid w:val="6A90616B"/>
    <w:rsid w:val="6AA4553C"/>
    <w:rsid w:val="6AAA129B"/>
    <w:rsid w:val="6AB51A05"/>
    <w:rsid w:val="6AB57116"/>
    <w:rsid w:val="6AE73176"/>
    <w:rsid w:val="6B17424A"/>
    <w:rsid w:val="6B2218FA"/>
    <w:rsid w:val="6B691672"/>
    <w:rsid w:val="6BC8641A"/>
    <w:rsid w:val="6BD0347D"/>
    <w:rsid w:val="6BE97F42"/>
    <w:rsid w:val="6C296590"/>
    <w:rsid w:val="6C5E6A51"/>
    <w:rsid w:val="6C6513C3"/>
    <w:rsid w:val="6C744268"/>
    <w:rsid w:val="6CD62D03"/>
    <w:rsid w:val="6CD97FB6"/>
    <w:rsid w:val="6CEE2DB0"/>
    <w:rsid w:val="6D4B22B8"/>
    <w:rsid w:val="6D4F2026"/>
    <w:rsid w:val="6D930013"/>
    <w:rsid w:val="6E1A1656"/>
    <w:rsid w:val="6E231DD6"/>
    <w:rsid w:val="6E5A5288"/>
    <w:rsid w:val="6E5D2F46"/>
    <w:rsid w:val="6E76106E"/>
    <w:rsid w:val="6E8B2C1F"/>
    <w:rsid w:val="6E977DFB"/>
    <w:rsid w:val="6EE013EE"/>
    <w:rsid w:val="6EE079F1"/>
    <w:rsid w:val="6EE42C42"/>
    <w:rsid w:val="6F065AB6"/>
    <w:rsid w:val="6F255B5D"/>
    <w:rsid w:val="6F7F7CB0"/>
    <w:rsid w:val="6FBA3011"/>
    <w:rsid w:val="6FC62428"/>
    <w:rsid w:val="6FE0165C"/>
    <w:rsid w:val="6FE6309C"/>
    <w:rsid w:val="6FF0551E"/>
    <w:rsid w:val="70222744"/>
    <w:rsid w:val="706D2B21"/>
    <w:rsid w:val="707B1384"/>
    <w:rsid w:val="70857A34"/>
    <w:rsid w:val="70985D3C"/>
    <w:rsid w:val="70F40FA1"/>
    <w:rsid w:val="71047C73"/>
    <w:rsid w:val="7109004F"/>
    <w:rsid w:val="71103167"/>
    <w:rsid w:val="712E56F7"/>
    <w:rsid w:val="71385A70"/>
    <w:rsid w:val="71642194"/>
    <w:rsid w:val="71687F6C"/>
    <w:rsid w:val="71691ABB"/>
    <w:rsid w:val="7169386A"/>
    <w:rsid w:val="71AE1AEA"/>
    <w:rsid w:val="71CF3B6C"/>
    <w:rsid w:val="71F80F33"/>
    <w:rsid w:val="722013F6"/>
    <w:rsid w:val="722922C6"/>
    <w:rsid w:val="728121EC"/>
    <w:rsid w:val="729A338D"/>
    <w:rsid w:val="732D4B5D"/>
    <w:rsid w:val="73393C88"/>
    <w:rsid w:val="7362513F"/>
    <w:rsid w:val="7372081D"/>
    <w:rsid w:val="73740A39"/>
    <w:rsid w:val="73771D49"/>
    <w:rsid w:val="73A1354E"/>
    <w:rsid w:val="73A83834"/>
    <w:rsid w:val="74031B3E"/>
    <w:rsid w:val="740C328F"/>
    <w:rsid w:val="74A11E7D"/>
    <w:rsid w:val="74A8528C"/>
    <w:rsid w:val="74B25745"/>
    <w:rsid w:val="74C12F49"/>
    <w:rsid w:val="74F97739"/>
    <w:rsid w:val="75590B0A"/>
    <w:rsid w:val="7582279F"/>
    <w:rsid w:val="75843EB5"/>
    <w:rsid w:val="75BB71AF"/>
    <w:rsid w:val="75F01962"/>
    <w:rsid w:val="75F86E00"/>
    <w:rsid w:val="75FC2261"/>
    <w:rsid w:val="760E19DF"/>
    <w:rsid w:val="761B75CE"/>
    <w:rsid w:val="76676A53"/>
    <w:rsid w:val="76B620A1"/>
    <w:rsid w:val="76F20814"/>
    <w:rsid w:val="771E7367"/>
    <w:rsid w:val="77462524"/>
    <w:rsid w:val="7754544E"/>
    <w:rsid w:val="77855708"/>
    <w:rsid w:val="77A21064"/>
    <w:rsid w:val="77E34EB2"/>
    <w:rsid w:val="78150891"/>
    <w:rsid w:val="781564B8"/>
    <w:rsid w:val="78224ACF"/>
    <w:rsid w:val="783D4D66"/>
    <w:rsid w:val="785D5F3F"/>
    <w:rsid w:val="788A2AAC"/>
    <w:rsid w:val="789645EE"/>
    <w:rsid w:val="78CD6DCC"/>
    <w:rsid w:val="78D07CAF"/>
    <w:rsid w:val="78DE12D7"/>
    <w:rsid w:val="78F13741"/>
    <w:rsid w:val="78FC2038"/>
    <w:rsid w:val="78FC33D7"/>
    <w:rsid w:val="79210683"/>
    <w:rsid w:val="792417A2"/>
    <w:rsid w:val="799C3465"/>
    <w:rsid w:val="79B14EC4"/>
    <w:rsid w:val="79BE1ECC"/>
    <w:rsid w:val="79C95345"/>
    <w:rsid w:val="7A03025E"/>
    <w:rsid w:val="7A09128A"/>
    <w:rsid w:val="7A2A6B4A"/>
    <w:rsid w:val="7A681070"/>
    <w:rsid w:val="7A7A3D2F"/>
    <w:rsid w:val="7A860C7C"/>
    <w:rsid w:val="7AA7239D"/>
    <w:rsid w:val="7AAD79E7"/>
    <w:rsid w:val="7AB879FE"/>
    <w:rsid w:val="7B005560"/>
    <w:rsid w:val="7B3264DD"/>
    <w:rsid w:val="7B7374F2"/>
    <w:rsid w:val="7B81188A"/>
    <w:rsid w:val="7B9E2902"/>
    <w:rsid w:val="7BA434D7"/>
    <w:rsid w:val="7BB128EA"/>
    <w:rsid w:val="7BB46DC3"/>
    <w:rsid w:val="7BC06119"/>
    <w:rsid w:val="7BC854E2"/>
    <w:rsid w:val="7BEC1468"/>
    <w:rsid w:val="7C0562EC"/>
    <w:rsid w:val="7C27683F"/>
    <w:rsid w:val="7C744BEA"/>
    <w:rsid w:val="7C86057F"/>
    <w:rsid w:val="7C8B6DF3"/>
    <w:rsid w:val="7CB14B4D"/>
    <w:rsid w:val="7CC33EB4"/>
    <w:rsid w:val="7CF26969"/>
    <w:rsid w:val="7D25523C"/>
    <w:rsid w:val="7D651213"/>
    <w:rsid w:val="7D836D0C"/>
    <w:rsid w:val="7D8E4A46"/>
    <w:rsid w:val="7DB23041"/>
    <w:rsid w:val="7E5F7809"/>
    <w:rsid w:val="7EB22415"/>
    <w:rsid w:val="7ED56C53"/>
    <w:rsid w:val="7EEA1BAF"/>
    <w:rsid w:val="7F5460D4"/>
    <w:rsid w:val="7F552892"/>
    <w:rsid w:val="7F7F5451"/>
    <w:rsid w:val="7F852746"/>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4"/>
    <w:next w:val="1"/>
    <w:link w:val="49"/>
    <w:qFormat/>
    <w:uiPriority w:val="9"/>
    <w:pPr>
      <w:keepNext/>
      <w:keepLines/>
      <w:jc w:val="center"/>
      <w:outlineLvl w:val="0"/>
    </w:pPr>
    <w:rPr>
      <w:b/>
      <w:bCs/>
      <w:kern w:val="44"/>
      <w:sz w:val="36"/>
      <w:szCs w:val="44"/>
    </w:rPr>
  </w:style>
  <w:style w:type="paragraph" w:styleId="5">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6">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7">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8">
    <w:name w:val="heading 5"/>
    <w:basedOn w:val="1"/>
    <w:next w:val="1"/>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9">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szCs w:val="24"/>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84"/>
    <w:qFormat/>
    <w:uiPriority w:val="99"/>
    <w:pPr>
      <w:adjustRightInd w:val="0"/>
      <w:spacing w:before="120" w:after="120" w:afterLines="50" w:line="360" w:lineRule="auto"/>
      <w:textAlignment w:val="baseline"/>
    </w:pPr>
    <w:rPr>
      <w:rFonts w:ascii="Calibri" w:hAnsi="Calibri" w:eastAsia="新宋体" w:cs="Times New Roman"/>
      <w:szCs w:val="21"/>
    </w:rPr>
  </w:style>
  <w:style w:type="paragraph" w:styleId="4">
    <w:name w:val="toc 3"/>
    <w:basedOn w:val="1"/>
    <w:next w:val="1"/>
    <w:qFormat/>
    <w:uiPriority w:val="39"/>
    <w:pPr>
      <w:ind w:left="480"/>
      <w:jc w:val="left"/>
    </w:pPr>
    <w:rPr>
      <w:rFonts w:ascii="Calibri" w:hAnsi="Calibri" w:eastAsia="宋体" w:cs="Times New Roman"/>
      <w:i/>
      <w:iCs/>
      <w:sz w:val="20"/>
      <w:szCs w:val="20"/>
    </w:rPr>
  </w:style>
  <w:style w:type="paragraph" w:styleId="10">
    <w:name w:val="toc 7"/>
    <w:basedOn w:val="1"/>
    <w:next w:val="1"/>
    <w:qFormat/>
    <w:uiPriority w:val="39"/>
    <w:pPr>
      <w:ind w:left="1440"/>
      <w:jc w:val="left"/>
    </w:pPr>
    <w:rPr>
      <w:rFonts w:ascii="Calibri" w:hAnsi="Calibri" w:eastAsia="宋体" w:cs="Times New Roman"/>
      <w:sz w:val="18"/>
      <w:szCs w:val="18"/>
    </w:rPr>
  </w:style>
  <w:style w:type="paragraph" w:styleId="11">
    <w:name w:val="Normal Indent"/>
    <w:basedOn w:val="1"/>
    <w:link w:val="152"/>
    <w:qFormat/>
    <w:uiPriority w:val="99"/>
    <w:pPr>
      <w:ind w:firstLine="420"/>
    </w:pPr>
    <w:rPr>
      <w:rFonts w:ascii="Times New Roman" w:hAnsi="Times New Roman"/>
      <w:kern w:val="0"/>
      <w:sz w:val="20"/>
      <w:szCs w:val="20"/>
    </w:rPr>
  </w:style>
  <w:style w:type="paragraph" w:styleId="12">
    <w:name w:val="caption"/>
    <w:basedOn w:val="1"/>
    <w:next w:val="1"/>
    <w:qFormat/>
    <w:uiPriority w:val="35"/>
    <w:pPr>
      <w:spacing w:before="152" w:after="160"/>
    </w:pPr>
    <w:rPr>
      <w:rFonts w:ascii="Arial" w:hAnsi="Arial" w:eastAsia="黑体" w:cs="Arial"/>
      <w:sz w:val="20"/>
      <w:szCs w:val="20"/>
    </w:rPr>
  </w:style>
  <w:style w:type="paragraph" w:styleId="13">
    <w:name w:val="Document Map"/>
    <w:basedOn w:val="1"/>
    <w:link w:val="72"/>
    <w:qFormat/>
    <w:uiPriority w:val="0"/>
    <w:pPr>
      <w:shd w:val="clear" w:color="auto" w:fill="000080"/>
    </w:pPr>
    <w:rPr>
      <w:sz w:val="24"/>
    </w:rPr>
  </w:style>
  <w:style w:type="paragraph" w:styleId="14">
    <w:name w:val="toa heading"/>
    <w:basedOn w:val="1"/>
    <w:next w:val="1"/>
    <w:qFormat/>
    <w:uiPriority w:val="99"/>
    <w:pPr>
      <w:spacing w:before="120"/>
    </w:pPr>
    <w:rPr>
      <w:rFonts w:ascii="Arial" w:hAnsi="Arial" w:eastAsia="宋体" w:cs="Arial"/>
      <w:sz w:val="24"/>
      <w:szCs w:val="24"/>
    </w:rPr>
  </w:style>
  <w:style w:type="paragraph" w:styleId="15">
    <w:name w:val="annotation text"/>
    <w:basedOn w:val="1"/>
    <w:link w:val="63"/>
    <w:qFormat/>
    <w:uiPriority w:val="0"/>
    <w:pPr>
      <w:jc w:val="left"/>
    </w:pPr>
  </w:style>
  <w:style w:type="paragraph" w:styleId="16">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7">
    <w:name w:val="Body Text Indent"/>
    <w:basedOn w:val="1"/>
    <w:link w:val="81"/>
    <w:qFormat/>
    <w:uiPriority w:val="99"/>
    <w:pPr>
      <w:spacing w:after="120"/>
      <w:ind w:left="420" w:leftChars="200"/>
    </w:pPr>
    <w:rPr>
      <w:rFonts w:ascii="Calibri" w:hAnsi="Calibri" w:eastAsia="宋体" w:cs="Times New Roman"/>
      <w:szCs w:val="20"/>
    </w:rPr>
  </w:style>
  <w:style w:type="paragraph" w:styleId="18">
    <w:name w:val="index 4"/>
    <w:basedOn w:val="1"/>
    <w:next w:val="1"/>
    <w:qFormat/>
    <w:uiPriority w:val="0"/>
    <w:pPr>
      <w:ind w:left="600" w:leftChars="600"/>
    </w:pPr>
  </w:style>
  <w:style w:type="paragraph" w:styleId="19">
    <w:name w:val="toc 5"/>
    <w:basedOn w:val="1"/>
    <w:next w:val="1"/>
    <w:qFormat/>
    <w:uiPriority w:val="39"/>
    <w:pPr>
      <w:ind w:left="960"/>
      <w:jc w:val="left"/>
    </w:pPr>
    <w:rPr>
      <w:rFonts w:ascii="Calibri" w:hAnsi="Calibri" w:eastAsia="宋体" w:cs="Times New Roman"/>
      <w:sz w:val="18"/>
      <w:szCs w:val="18"/>
    </w:rPr>
  </w:style>
  <w:style w:type="paragraph" w:styleId="20">
    <w:name w:val="Plain Text"/>
    <w:basedOn w:val="1"/>
    <w:link w:val="74"/>
    <w:qFormat/>
    <w:uiPriority w:val="0"/>
    <w:rPr>
      <w:rFonts w:ascii="宋体" w:hAnsi="Courier New"/>
    </w:rPr>
  </w:style>
  <w:style w:type="paragraph" w:styleId="21">
    <w:name w:val="toc 8"/>
    <w:basedOn w:val="1"/>
    <w:next w:val="1"/>
    <w:qFormat/>
    <w:uiPriority w:val="39"/>
    <w:pPr>
      <w:ind w:left="1680"/>
      <w:jc w:val="left"/>
    </w:pPr>
    <w:rPr>
      <w:rFonts w:ascii="Calibri" w:hAnsi="Calibri" w:eastAsia="宋体" w:cs="Times New Roman"/>
      <w:sz w:val="18"/>
      <w:szCs w:val="18"/>
    </w:rPr>
  </w:style>
  <w:style w:type="paragraph" w:styleId="22">
    <w:name w:val="Date"/>
    <w:basedOn w:val="1"/>
    <w:next w:val="1"/>
    <w:link w:val="65"/>
    <w:qFormat/>
    <w:uiPriority w:val="0"/>
    <w:pPr>
      <w:ind w:left="100" w:leftChars="2500"/>
    </w:pPr>
    <w:rPr>
      <w:sz w:val="24"/>
    </w:rPr>
  </w:style>
  <w:style w:type="paragraph" w:styleId="23">
    <w:name w:val="Body Text Indent 2"/>
    <w:basedOn w:val="1"/>
    <w:link w:val="53"/>
    <w:qFormat/>
    <w:uiPriority w:val="0"/>
    <w:pPr>
      <w:spacing w:after="120" w:line="480" w:lineRule="auto"/>
      <w:ind w:left="420" w:leftChars="200"/>
    </w:pPr>
  </w:style>
  <w:style w:type="paragraph" w:styleId="24">
    <w:name w:val="Balloon Text"/>
    <w:basedOn w:val="1"/>
    <w:link w:val="69"/>
    <w:qFormat/>
    <w:uiPriority w:val="0"/>
    <w:rPr>
      <w:sz w:val="18"/>
    </w:rPr>
  </w:style>
  <w:style w:type="paragraph" w:styleId="25">
    <w:name w:val="footer"/>
    <w:basedOn w:val="1"/>
    <w:link w:val="75"/>
    <w:qFormat/>
    <w:uiPriority w:val="99"/>
    <w:pPr>
      <w:tabs>
        <w:tab w:val="center" w:pos="4153"/>
        <w:tab w:val="right" w:pos="8306"/>
      </w:tabs>
      <w:snapToGrid w:val="0"/>
      <w:jc w:val="left"/>
    </w:pPr>
    <w:rPr>
      <w:sz w:val="18"/>
    </w:rPr>
  </w:style>
  <w:style w:type="paragraph" w:styleId="26">
    <w:name w:val="header"/>
    <w:basedOn w:val="1"/>
    <w:link w:val="61"/>
    <w:qFormat/>
    <w:uiPriority w:val="0"/>
    <w:pPr>
      <w:pBdr>
        <w:bottom w:val="single" w:color="auto" w:sz="6" w:space="1"/>
      </w:pBdr>
      <w:tabs>
        <w:tab w:val="center" w:pos="4153"/>
        <w:tab w:val="right" w:pos="8306"/>
      </w:tabs>
      <w:snapToGrid w:val="0"/>
      <w:jc w:val="center"/>
    </w:pPr>
    <w:rPr>
      <w:sz w:val="18"/>
    </w:rPr>
  </w:style>
  <w:style w:type="paragraph" w:styleId="27">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8">
    <w:name w:val="toc 4"/>
    <w:basedOn w:val="1"/>
    <w:next w:val="1"/>
    <w:qFormat/>
    <w:uiPriority w:val="39"/>
    <w:pPr>
      <w:ind w:left="720"/>
      <w:jc w:val="left"/>
    </w:pPr>
    <w:rPr>
      <w:rFonts w:ascii="Calibri" w:hAnsi="Calibri" w:eastAsia="宋体" w:cs="Times New Roman"/>
      <w:sz w:val="18"/>
      <w:szCs w:val="18"/>
    </w:rPr>
  </w:style>
  <w:style w:type="paragraph" w:styleId="29">
    <w:name w:val="List"/>
    <w:basedOn w:val="1"/>
    <w:qFormat/>
    <w:uiPriority w:val="99"/>
    <w:pPr>
      <w:ind w:left="420" w:hanging="420"/>
    </w:pPr>
    <w:rPr>
      <w:rFonts w:ascii="Times New Roman" w:hAnsi="Times New Roman" w:eastAsia="宋体" w:cs="Times New Roman"/>
      <w:szCs w:val="20"/>
    </w:rPr>
  </w:style>
  <w:style w:type="paragraph" w:styleId="30">
    <w:name w:val="toc 6"/>
    <w:basedOn w:val="1"/>
    <w:next w:val="1"/>
    <w:qFormat/>
    <w:uiPriority w:val="39"/>
    <w:pPr>
      <w:ind w:left="1200"/>
      <w:jc w:val="left"/>
    </w:pPr>
    <w:rPr>
      <w:rFonts w:ascii="Calibri" w:hAnsi="Calibri" w:eastAsia="宋体" w:cs="Times New Roman"/>
      <w:sz w:val="18"/>
      <w:szCs w:val="18"/>
    </w:rPr>
  </w:style>
  <w:style w:type="paragraph" w:styleId="31">
    <w:name w:val="Body Text Indent 3"/>
    <w:basedOn w:val="1"/>
    <w:link w:val="55"/>
    <w:qFormat/>
    <w:uiPriority w:val="0"/>
    <w:pPr>
      <w:spacing w:after="120"/>
      <w:ind w:left="420" w:leftChars="200"/>
    </w:pPr>
    <w:rPr>
      <w:sz w:val="16"/>
    </w:rPr>
  </w:style>
  <w:style w:type="paragraph" w:styleId="32">
    <w:name w:val="toc 2"/>
    <w:basedOn w:val="1"/>
    <w:next w:val="1"/>
    <w:unhideWhenUsed/>
    <w:qFormat/>
    <w:uiPriority w:val="39"/>
    <w:pPr>
      <w:ind w:left="420" w:leftChars="200"/>
    </w:pPr>
    <w:rPr>
      <w:rFonts w:ascii="Calibri" w:hAnsi="Calibri" w:eastAsia="宋体" w:cs="Times New Roman"/>
      <w:szCs w:val="20"/>
    </w:rPr>
  </w:style>
  <w:style w:type="paragraph" w:styleId="33">
    <w:name w:val="toc 9"/>
    <w:basedOn w:val="1"/>
    <w:next w:val="1"/>
    <w:qFormat/>
    <w:uiPriority w:val="39"/>
    <w:pPr>
      <w:ind w:left="1920"/>
      <w:jc w:val="left"/>
    </w:pPr>
    <w:rPr>
      <w:rFonts w:ascii="Calibri" w:hAnsi="Calibri" w:eastAsia="宋体" w:cs="Times New Roman"/>
      <w:sz w:val="18"/>
      <w:szCs w:val="18"/>
    </w:rPr>
  </w:style>
  <w:style w:type="paragraph" w:styleId="34">
    <w:name w:val="Normal (Web)"/>
    <w:basedOn w:val="1"/>
    <w:qFormat/>
    <w:uiPriority w:val="99"/>
    <w:rPr>
      <w:rFonts w:ascii="Calibri" w:hAnsi="Calibri" w:eastAsia="宋体" w:cs="Times New Roman"/>
      <w:sz w:val="24"/>
      <w:szCs w:val="20"/>
    </w:rPr>
  </w:style>
  <w:style w:type="paragraph" w:styleId="35">
    <w:name w:val="index 1"/>
    <w:basedOn w:val="1"/>
    <w:next w:val="1"/>
    <w:qFormat/>
    <w:uiPriority w:val="99"/>
    <w:rPr>
      <w:rFonts w:ascii="Calibri" w:hAnsi="Calibri" w:eastAsia="宋体" w:cs="Times New Roman"/>
      <w:sz w:val="24"/>
      <w:szCs w:val="24"/>
    </w:rPr>
  </w:style>
  <w:style w:type="paragraph" w:styleId="36">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5"/>
    <w:next w:val="15"/>
    <w:link w:val="54"/>
    <w:qFormat/>
    <w:uiPriority w:val="0"/>
    <w:rPr>
      <w:b/>
    </w:rPr>
  </w:style>
  <w:style w:type="paragraph" w:styleId="38">
    <w:name w:val="Body Text First Indent 2"/>
    <w:basedOn w:val="17"/>
    <w:semiHidden/>
    <w:qFormat/>
    <w:uiPriority w:val="99"/>
    <w:pPr>
      <w:spacing w:line="276" w:lineRule="auto"/>
      <w:ind w:firstLine="420" w:firstLineChars="200"/>
      <w:jc w:val="left"/>
    </w:pPr>
  </w:style>
  <w:style w:type="table" w:styleId="40">
    <w:name w:val="Table Grid"/>
    <w:basedOn w:val="3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0"/>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3"/>
    <w:qFormat/>
    <w:uiPriority w:val="9"/>
    <w:rPr>
      <w:rFonts w:ascii="Calibri" w:hAnsi="Calibri" w:eastAsia="宋体" w:cs="Times New Roman"/>
      <w:b/>
      <w:bCs/>
      <w:kern w:val="44"/>
      <w:sz w:val="36"/>
      <w:szCs w:val="44"/>
    </w:rPr>
  </w:style>
  <w:style w:type="character" w:customStyle="1" w:styleId="50">
    <w:name w:val="标题 2 字符"/>
    <w:basedOn w:val="41"/>
    <w:link w:val="5"/>
    <w:qFormat/>
    <w:uiPriority w:val="9"/>
    <w:rPr>
      <w:rFonts w:ascii="Arial" w:hAnsi="Arial" w:eastAsia="宋体" w:cs="Times New Roman"/>
      <w:b/>
      <w:bCs/>
      <w:sz w:val="24"/>
      <w:szCs w:val="32"/>
    </w:rPr>
  </w:style>
  <w:style w:type="character" w:customStyle="1" w:styleId="51">
    <w:name w:val="标题 3 字符"/>
    <w:basedOn w:val="41"/>
    <w:link w:val="6"/>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rPr>
  </w:style>
  <w:style w:type="character" w:customStyle="1" w:styleId="53">
    <w:name w:val="正文文本缩进 2 字符"/>
    <w:link w:val="23"/>
    <w:qFormat/>
    <w:locked/>
    <w:uiPriority w:val="0"/>
  </w:style>
  <w:style w:type="character" w:customStyle="1" w:styleId="54">
    <w:name w:val="批注主题 字符"/>
    <w:link w:val="37"/>
    <w:qFormat/>
    <w:locked/>
    <w:uiPriority w:val="0"/>
    <w:rPr>
      <w:b/>
    </w:rPr>
  </w:style>
  <w:style w:type="character" w:customStyle="1" w:styleId="55">
    <w:name w:val="正文文本缩进 3 字符"/>
    <w:link w:val="31"/>
    <w:qFormat/>
    <w:locked/>
    <w:uiPriority w:val="0"/>
    <w:rPr>
      <w:sz w:val="16"/>
    </w:rPr>
  </w:style>
  <w:style w:type="character" w:customStyle="1" w:styleId="56">
    <w:name w:val="纯文本 Char"/>
    <w:qFormat/>
    <w:uiPriority w:val="0"/>
    <w:rPr>
      <w:rFonts w:ascii="宋体" w:hAnsi="Courier New" w:eastAsia="宋体"/>
      <w:kern w:val="2"/>
      <w:sz w:val="21"/>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6"/>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5"/>
    <w:qFormat/>
    <w:locked/>
    <w:uiPriority w:val="0"/>
  </w:style>
  <w:style w:type="character" w:customStyle="1" w:styleId="64">
    <w:name w:val="标题 字符"/>
    <w:link w:val="36"/>
    <w:qFormat/>
    <w:locked/>
    <w:uiPriority w:val="0"/>
    <w:rPr>
      <w:rFonts w:ascii="Arial" w:hAnsi="Arial"/>
      <w:b/>
      <w:sz w:val="32"/>
    </w:rPr>
  </w:style>
  <w:style w:type="character" w:customStyle="1" w:styleId="65">
    <w:name w:val="日期 字符"/>
    <w:link w:val="22"/>
    <w:qFormat/>
    <w:locked/>
    <w:uiPriority w:val="0"/>
    <w:rPr>
      <w:sz w:val="24"/>
    </w:rPr>
  </w:style>
  <w:style w:type="character" w:customStyle="1" w:styleId="66">
    <w:name w:val="ATXT_Bullets Zchn"/>
    <w:link w:val="67"/>
    <w:qFormat/>
    <w:locked/>
    <w:uiPriority w:val="99"/>
    <w:rPr>
      <w:rFonts w:ascii="Arial" w:hAnsi="Arial"/>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en-US" w:eastAsia="zh-CN" w:bidi="ar-SA"/>
    </w:rPr>
  </w:style>
  <w:style w:type="character" w:customStyle="1" w:styleId="68">
    <w:name w:val="Char Char5"/>
    <w:qFormat/>
    <w:uiPriority w:val="0"/>
    <w:rPr>
      <w:rFonts w:ascii="宋体" w:hAnsi="Courier New" w:eastAsia="宋体"/>
      <w:kern w:val="2"/>
      <w:sz w:val="21"/>
    </w:rPr>
  </w:style>
  <w:style w:type="character" w:customStyle="1" w:styleId="69">
    <w:name w:val="批注框文本 字符"/>
    <w:link w:val="24"/>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3"/>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20"/>
    <w:qFormat/>
    <w:locked/>
    <w:uiPriority w:val="0"/>
    <w:rPr>
      <w:rFonts w:ascii="宋体" w:hAnsi="Courier New"/>
    </w:rPr>
  </w:style>
  <w:style w:type="character" w:customStyle="1" w:styleId="75">
    <w:name w:val="页脚 字符"/>
    <w:link w:val="25"/>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17"/>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2"/>
    <w:qFormat/>
    <w:uiPriority w:val="99"/>
    <w:rPr>
      <w:rFonts w:ascii="Calibri" w:hAnsi="Calibri" w:eastAsia="新宋体"/>
      <w:kern w:val="2"/>
      <w:sz w:val="21"/>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rPr>
  </w:style>
  <w:style w:type="paragraph" w:customStyle="1" w:styleId="110">
    <w:name w:val="Char Char Char Char Char Char Char"/>
    <w:basedOn w:val="1"/>
    <w:qFormat/>
    <w:uiPriority w:val="0"/>
    <w:rPr>
      <w:rFonts w:ascii="Verdana" w:hAnsi="Verdana" w:eastAsia="宋体" w:cs="Times New Roman"/>
      <w:kern w:val="0"/>
      <w:sz w:val="20"/>
      <w:szCs w:val="20"/>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en-US" w:eastAsia="zh-CN" w:bidi="ar-SA"/>
    </w:rPr>
  </w:style>
  <w:style w:type="paragraph" w:customStyle="1" w:styleId="115">
    <w:name w:val="标书正文格式"/>
    <w:basedOn w:val="20"/>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5"/>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6"/>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34"/>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3"/>
    <w:qFormat/>
    <w:uiPriority w:val="0"/>
    <w:rPr>
      <w:rFonts w:eastAsia="黑体"/>
      <w:b w:val="0"/>
      <w:color w:val="000000"/>
      <w:sz w:val="30"/>
      <w:szCs w:val="24"/>
    </w:rPr>
  </w:style>
  <w:style w:type="paragraph" w:customStyle="1" w:styleId="135">
    <w:name w:val="首行缩进"/>
    <w:basedOn w:val="1"/>
    <w:qFormat/>
    <w:uiPriority w:val="0"/>
    <w:pPr>
      <w:ind w:firstLine="480" w:firstLineChars="200"/>
    </w:pPr>
  </w:style>
  <w:style w:type="paragraph" w:customStyle="1" w:styleId="136">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7">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8">
    <w:name w:val="正文表标题"/>
    <w:next w:val="137"/>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39">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rPr>
  </w:style>
  <w:style w:type="paragraph" w:customStyle="1" w:styleId="140">
    <w:name w:val="K2-A4"/>
    <w:basedOn w:val="7"/>
    <w:qFormat/>
    <w:uiPriority w:val="0"/>
    <w:pPr>
      <w:spacing w:before="0" w:after="0" w:line="360" w:lineRule="auto"/>
    </w:pPr>
    <w:rPr>
      <w:rFonts w:ascii="Times New Roman" w:hAnsi="Times New Roman" w:eastAsia="宋体" w:cs="Times New Roman"/>
      <w:bCs/>
      <w:sz w:val="21"/>
      <w:szCs w:val="28"/>
    </w:rPr>
  </w:style>
  <w:style w:type="paragraph" w:customStyle="1" w:styleId="141">
    <w:name w:val="一级标题"/>
    <w:next w:val="1"/>
    <w:qFormat/>
    <w:uiPriority w:val="0"/>
    <w:pPr>
      <w:numPr>
        <w:ilvl w:val="0"/>
        <w:numId w:val="2"/>
      </w:numPr>
      <w:spacing w:before="240" w:beforeLines="100" w:line="480" w:lineRule="auto"/>
      <w:outlineLvl w:val="3"/>
    </w:pPr>
    <w:rPr>
      <w:rFonts w:ascii="宋体" w:hAnsi="宋体" w:eastAsia="宋体" w:cs="Times New Roman"/>
      <w:b/>
      <w:bCs/>
      <w:kern w:val="2"/>
      <w:sz w:val="24"/>
      <w:szCs w:val="24"/>
      <w:lang w:val="en-US" w:eastAsia="zh-CN" w:bidi="ar-SA"/>
    </w:rPr>
  </w:style>
  <w:style w:type="paragraph" w:customStyle="1" w:styleId="142">
    <w:name w:val="二级标题"/>
    <w:next w:val="1"/>
    <w:qFormat/>
    <w:uiPriority w:val="0"/>
    <w:pPr>
      <w:numPr>
        <w:ilvl w:val="1"/>
        <w:numId w:val="2"/>
      </w:numPr>
      <w:spacing w:line="360" w:lineRule="auto"/>
      <w:outlineLvl w:val="4"/>
    </w:pPr>
    <w:rPr>
      <w:rFonts w:ascii="宋体" w:hAnsi="宋体" w:eastAsia="宋体" w:cs="MiSans Demibold"/>
      <w:b/>
      <w:bCs/>
      <w:kern w:val="2"/>
      <w:sz w:val="24"/>
      <w:szCs w:val="24"/>
      <w:lang w:val="en-US" w:eastAsia="zh-CN" w:bidi="ar-SA"/>
    </w:rPr>
  </w:style>
  <w:style w:type="paragraph" w:customStyle="1" w:styleId="143">
    <w:name w:val="三级标题"/>
    <w:next w:val="1"/>
    <w:qFormat/>
    <w:uiPriority w:val="0"/>
    <w:pPr>
      <w:numPr>
        <w:ilvl w:val="2"/>
        <w:numId w:val="2"/>
      </w:numPr>
      <w:spacing w:line="360" w:lineRule="auto"/>
      <w:outlineLvl w:val="5"/>
    </w:pPr>
    <w:rPr>
      <w:rFonts w:ascii="宋体" w:hAnsi="宋体" w:eastAsia="宋体" w:cstheme="minorBidi"/>
      <w:b/>
      <w:kern w:val="2"/>
      <w:sz w:val="24"/>
      <w:szCs w:val="24"/>
      <w:lang w:val="en-US" w:eastAsia="zh-CN" w:bidi="ar-SA"/>
    </w:rPr>
  </w:style>
  <w:style w:type="paragraph" w:customStyle="1" w:styleId="144">
    <w:name w:val="表格"/>
    <w:basedOn w:val="1"/>
    <w:qFormat/>
    <w:uiPriority w:val="0"/>
    <w:pPr>
      <w:spacing w:line="300" w:lineRule="auto"/>
    </w:pPr>
    <w:rPr>
      <w:rFonts w:ascii="Times New Roman" w:hAnsi="Times New Roman" w:eastAsia="宋体"/>
      <w:szCs w:val="21"/>
    </w:rPr>
  </w:style>
  <w:style w:type="paragraph" w:customStyle="1" w:styleId="145">
    <w:name w:val="HR正文"/>
    <w:basedOn w:val="1"/>
    <w:link w:val="153"/>
    <w:qFormat/>
    <w:uiPriority w:val="0"/>
    <w:pPr>
      <w:numPr>
        <w:ilvl w:val="1"/>
        <w:numId w:val="3"/>
      </w:numPr>
      <w:spacing w:line="300" w:lineRule="auto"/>
    </w:pPr>
    <w:rPr>
      <w:sz w:val="24"/>
      <w:szCs w:val="24"/>
    </w:rPr>
  </w:style>
  <w:style w:type="paragraph" w:customStyle="1" w:styleId="146">
    <w:name w:val="FAW正文"/>
    <w:basedOn w:val="1"/>
    <w:qFormat/>
    <w:uiPriority w:val="0"/>
    <w:pPr>
      <w:spacing w:line="300" w:lineRule="auto"/>
      <w:ind w:firstLine="200" w:firstLineChars="200"/>
    </w:pPr>
    <w:rPr>
      <w:rFonts w:ascii="Times New Roman" w:hAnsi="Times New Roman" w:eastAsia="宋体" w:cs="Times New Roman"/>
      <w:sz w:val="24"/>
      <w:szCs w:val="24"/>
    </w:rPr>
  </w:style>
  <w:style w:type="paragraph" w:customStyle="1" w:styleId="147">
    <w:name w:val="正文文本2"/>
    <w:basedOn w:val="1"/>
    <w:qFormat/>
    <w:uiPriority w:val="0"/>
    <w:pPr>
      <w:adjustRightInd w:val="0"/>
      <w:spacing w:before="120" w:after="120" w:afterLines="50" w:line="280" w:lineRule="atLeast"/>
      <w:textAlignment w:val="baseline"/>
    </w:pPr>
    <w:rPr>
      <w:rFonts w:eastAsia="新宋体"/>
      <w:szCs w:val="21"/>
    </w:rPr>
  </w:style>
  <w:style w:type="table" w:customStyle="1" w:styleId="148">
    <w:name w:val="网格型1"/>
    <w:basedOn w:val="39"/>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49">
    <w:name w:val="HR数字分点"/>
    <w:basedOn w:val="145"/>
    <w:qFormat/>
    <w:uiPriority w:val="0"/>
    <w:pPr>
      <w:numPr>
        <w:numId w:val="4"/>
      </w:numPr>
      <w:ind w:firstLine="0"/>
    </w:pPr>
    <w:rPr>
      <w:rFonts w:ascii="Times New Roman" w:hAnsi="Times New Roman" w:eastAsia="宋体" w:cs="Times New Roman"/>
    </w:rPr>
  </w:style>
  <w:style w:type="paragraph" w:customStyle="1" w:styleId="150">
    <w:name w:val="HR标题4"/>
    <w:basedOn w:val="1"/>
    <w:next w:val="145"/>
    <w:qFormat/>
    <w:uiPriority w:val="0"/>
    <w:pPr>
      <w:numPr>
        <w:ilvl w:val="3"/>
        <w:numId w:val="5"/>
      </w:numPr>
      <w:tabs>
        <w:tab w:val="left" w:pos="794"/>
      </w:tabs>
      <w:spacing w:line="360" w:lineRule="auto"/>
      <w:outlineLvl w:val="3"/>
    </w:pPr>
    <w:rPr>
      <w:rFonts w:ascii="Times New Roman" w:hAnsi="Times New Roman" w:eastAsia="宋体" w:cs="Times New Roman"/>
      <w:sz w:val="24"/>
      <w:szCs w:val="24"/>
    </w:rPr>
  </w:style>
  <w:style w:type="paragraph" w:customStyle="1" w:styleId="151">
    <w:name w:val="HR标题3"/>
    <w:basedOn w:val="1"/>
    <w:next w:val="145"/>
    <w:qFormat/>
    <w:uiPriority w:val="0"/>
    <w:pPr>
      <w:numPr>
        <w:ilvl w:val="2"/>
        <w:numId w:val="5"/>
      </w:numPr>
      <w:tabs>
        <w:tab w:val="left" w:pos="984"/>
      </w:tabs>
      <w:spacing w:line="360" w:lineRule="auto"/>
      <w:outlineLvl w:val="2"/>
    </w:pPr>
    <w:rPr>
      <w:rFonts w:ascii="Times New Roman" w:hAnsi="Times New Roman" w:eastAsia="宋体" w:cs="Times New Roman"/>
      <w:sz w:val="24"/>
      <w:szCs w:val="24"/>
    </w:rPr>
  </w:style>
  <w:style w:type="character" w:customStyle="1" w:styleId="152">
    <w:name w:val="正文缩进 字符"/>
    <w:link w:val="11"/>
    <w:qFormat/>
    <w:uiPriority w:val="99"/>
    <w:rPr>
      <w:rFonts w:eastAsiaTheme="minorEastAsia" w:cstheme="minorBidi"/>
    </w:rPr>
  </w:style>
  <w:style w:type="character" w:customStyle="1" w:styleId="153">
    <w:name w:val="HR正文 Char"/>
    <w:link w:val="145"/>
    <w:qFormat/>
    <w:uiPriority w:val="0"/>
    <w:rPr>
      <w:rFonts w:asciiTheme="minorHAnsi" w:hAnsiTheme="minorHAnsi" w:eastAsiaTheme="minorEastAsia" w:cstheme="minorBidi"/>
      <w:kern w:val="2"/>
      <w:sz w:val="24"/>
      <w:szCs w:val="24"/>
    </w:rPr>
  </w:style>
  <w:style w:type="paragraph" w:customStyle="1" w:styleId="154">
    <w:name w:val="_Style 153"/>
    <w:basedOn w:val="1"/>
    <w:next w:val="129"/>
    <w:link w:val="155"/>
    <w:qFormat/>
    <w:uiPriority w:val="34"/>
    <w:pPr>
      <w:spacing w:line="340" w:lineRule="atLeast"/>
      <w:ind w:firstLine="420" w:firstLineChars="200"/>
    </w:pPr>
    <w:rPr>
      <w:rFonts w:ascii="Times New Roman" w:hAnsi="Times New Roman" w:eastAsia="宋体" w:cs="Times New Roman"/>
      <w:szCs w:val="20"/>
    </w:rPr>
  </w:style>
  <w:style w:type="character" w:customStyle="1" w:styleId="155">
    <w:name w:val="列出段落 Char"/>
    <w:link w:val="154"/>
    <w:qFormat/>
    <w:locked/>
    <w:uiPriority w:val="34"/>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0" Type="http://schemas.openxmlformats.org/officeDocument/2006/relationships/fontTable" Target="fontTable.xml"/><Relationship Id="rId6" Type="http://schemas.openxmlformats.org/officeDocument/2006/relationships/footer" Target="footer3.xml"/><Relationship Id="rId59" Type="http://schemas.openxmlformats.org/officeDocument/2006/relationships/customXml" Target="../customXml/item2.xml"/><Relationship Id="rId58" Type="http://schemas.openxmlformats.org/officeDocument/2006/relationships/numbering" Target="numbering.xml"/><Relationship Id="rId57" Type="http://schemas.openxmlformats.org/officeDocument/2006/relationships/customXml" Target="../customXml/item1.xml"/><Relationship Id="rId56" Type="http://schemas.openxmlformats.org/officeDocument/2006/relationships/image" Target="media/image13.png"/><Relationship Id="rId55" Type="http://schemas.openxmlformats.org/officeDocument/2006/relationships/image" Target="media/image12.png"/><Relationship Id="rId54" Type="http://schemas.openxmlformats.org/officeDocument/2006/relationships/image" Target="media/image11.png"/><Relationship Id="rId53" Type="http://schemas.openxmlformats.org/officeDocument/2006/relationships/image" Target="media/image10.png"/><Relationship Id="rId52" Type="http://schemas.openxmlformats.org/officeDocument/2006/relationships/image" Target="media/image9.png"/><Relationship Id="rId51" Type="http://schemas.openxmlformats.org/officeDocument/2006/relationships/image" Target="media/image8.png"/><Relationship Id="rId50" Type="http://schemas.openxmlformats.org/officeDocument/2006/relationships/image" Target="media/image7.png"/><Relationship Id="rId5" Type="http://schemas.openxmlformats.org/officeDocument/2006/relationships/header" Target="header1.xml"/><Relationship Id="rId49" Type="http://schemas.openxmlformats.org/officeDocument/2006/relationships/image" Target="media/image6.png"/><Relationship Id="rId48" Type="http://schemas.openxmlformats.org/officeDocument/2006/relationships/image" Target="media/image5.png"/><Relationship Id="rId47" Type="http://schemas.openxmlformats.org/officeDocument/2006/relationships/image" Target="media/image4.png"/><Relationship Id="rId46" Type="http://schemas.openxmlformats.org/officeDocument/2006/relationships/image" Target="media/image3.png"/><Relationship Id="rId45" Type="http://schemas.openxmlformats.org/officeDocument/2006/relationships/image" Target="media/image2.png"/><Relationship Id="rId44" Type="http://schemas.openxmlformats.org/officeDocument/2006/relationships/image" Target="media/image1.png"/><Relationship Id="rId43" Type="http://schemas.openxmlformats.org/officeDocument/2006/relationships/theme" Target="theme/theme1.xml"/><Relationship Id="rId42" Type="http://schemas.openxmlformats.org/officeDocument/2006/relationships/footer" Target="footer32.xml"/><Relationship Id="rId41" Type="http://schemas.openxmlformats.org/officeDocument/2006/relationships/footer" Target="footer31.xml"/><Relationship Id="rId40" Type="http://schemas.openxmlformats.org/officeDocument/2006/relationships/header" Target="header8.xml"/><Relationship Id="rId4" Type="http://schemas.openxmlformats.org/officeDocument/2006/relationships/footer" Target="footer2.xml"/><Relationship Id="rId39" Type="http://schemas.openxmlformats.org/officeDocument/2006/relationships/header" Target="header7.xml"/><Relationship Id="rId38" Type="http://schemas.openxmlformats.org/officeDocument/2006/relationships/footer" Target="footer30.xml"/><Relationship Id="rId37" Type="http://schemas.openxmlformats.org/officeDocument/2006/relationships/footer" Target="footer29.xml"/><Relationship Id="rId36" Type="http://schemas.openxmlformats.org/officeDocument/2006/relationships/header" Target="header6.xml"/><Relationship Id="rId35" Type="http://schemas.openxmlformats.org/officeDocument/2006/relationships/header" Target="header5.xml"/><Relationship Id="rId34" Type="http://schemas.openxmlformats.org/officeDocument/2006/relationships/footer" Target="footer28.xml"/><Relationship Id="rId33" Type="http://schemas.openxmlformats.org/officeDocument/2006/relationships/footer" Target="footer27.xml"/><Relationship Id="rId32" Type="http://schemas.openxmlformats.org/officeDocument/2006/relationships/footer" Target="footer26.xml"/><Relationship Id="rId31" Type="http://schemas.openxmlformats.org/officeDocument/2006/relationships/footer" Target="footer25.xml"/><Relationship Id="rId30" Type="http://schemas.openxmlformats.org/officeDocument/2006/relationships/footer" Target="footer24.xml"/><Relationship Id="rId3" Type="http://schemas.openxmlformats.org/officeDocument/2006/relationships/footer" Target="footer1.xml"/><Relationship Id="rId29" Type="http://schemas.openxmlformats.org/officeDocument/2006/relationships/footer" Target="footer23.xml"/><Relationship Id="rId28" Type="http://schemas.openxmlformats.org/officeDocument/2006/relationships/footer" Target="footer22.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header" Target="header4.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0F5AA74-2290-4220-B658-65DFAE7807C5}">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98</Pages>
  <Words>3838</Words>
  <Characters>21881</Characters>
  <Lines>182</Lines>
  <Paragraphs>51</Paragraphs>
  <TotalTime>168</TotalTime>
  <ScaleCrop>false</ScaleCrop>
  <LinksUpToDate>false</LinksUpToDate>
  <CharactersWithSpaces>25668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2024-06-21T03:25:00Z</cp:lastPrinted>
  <dcterms:modified xsi:type="dcterms:W3CDTF">2025-09-15T02:06:48Z</dcterms:modified>
  <cp:revision>299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A59F3589425A4443B82735B58372AD97_13</vt:lpwstr>
  </property>
  <property fmtid="{D5CDD505-2E9C-101B-9397-08002B2CF9AE}" pid="4" name="KSOTemplateDocerSaveRecord">
    <vt:lpwstr>eyJoZGlkIjoiMGEyZmJjNWQ2ODgwYzY0ZDEzMTdlYzkzZWRhZjUxNjciLCJ1c2VySWQiOiIyOTExNDA4MjgifQ==</vt:lpwstr>
  </property>
</Properties>
</file>