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bookmarkStart w:id="0" w:name="_Toc20822"/>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桌面HIL台架</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wordWrap w:val="0"/>
        <w:jc w:val="right"/>
        <w:rPr>
          <w:rFonts w:hint="eastAsia"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wordWrap w:val="0"/>
        <w:jc w:val="both"/>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6"/>
        </w:numPr>
        <w:jc w:val="center"/>
        <w:outlineLvl w:val="0"/>
        <w:rPr>
          <w:rFonts w:ascii="Calibri" w:hAnsi="Calibri" w:eastAsia="宋体" w:cs="Times New Roman"/>
          <w:b/>
          <w:bCs/>
          <w:kern w:val="44"/>
          <w:sz w:val="36"/>
          <w:szCs w:val="44"/>
        </w:rPr>
      </w:pPr>
      <w:bookmarkStart w:id="1" w:name="_Toc25915"/>
      <w:r>
        <w:rPr>
          <w:rFonts w:hint="eastAsia" w:ascii="Calibri" w:hAnsi="Calibri" w:eastAsia="宋体" w:cs="Times New Roman"/>
          <w:b/>
          <w:bCs/>
          <w:kern w:val="44"/>
          <w:sz w:val="36"/>
          <w:szCs w:val="44"/>
        </w:rPr>
        <w:t xml:space="preserve"> 投标须知前附表</w:t>
      </w:r>
      <w:bookmarkEnd w:id="1"/>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int="eastAsia" w:ascii="宋体" w:hAnsi="宋体" w:eastAsia="宋体" w:cs="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中国重汽集团济南动力有限公司</w:t>
            </w:r>
            <w:r>
              <w:rPr>
                <w:rFonts w:hint="eastAsia" w:ascii="宋体" w:hAnsi="宋体" w:eastAsia="宋体" w:cs="宋体"/>
                <w:b/>
                <w:bCs/>
                <w:color w:val="000000"/>
                <w:sz w:val="24"/>
                <w:szCs w:val="24"/>
                <w:u w:val="single"/>
                <w:lang w:val="en-US" w:eastAsia="zh-CN"/>
              </w:rPr>
              <w:t>桌面HIL台架</w:t>
            </w:r>
            <w:r>
              <w:rPr>
                <w:rFonts w:hint="eastAsia" w:ascii="宋体" w:hAnsi="宋体" w:eastAsia="宋体" w:cs="宋体"/>
                <w:b/>
                <w:bCs/>
                <w:color w:val="000000"/>
                <w:sz w:val="24"/>
                <w:szCs w:val="24"/>
                <w:u w:val="single"/>
              </w:rPr>
              <w:t>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rPr>
              <w:t>CGZX2025090129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b/>
                <w:bCs/>
                <w:sz w:val="24"/>
                <w:szCs w:val="24"/>
                <w:highlight w:val="yellow"/>
                <w:u w:val="single"/>
                <w:lang w:val="en-US" w:eastAsia="zh-CN"/>
              </w:rPr>
              <w:t>桌面HIL台架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b/>
                <w:bCs/>
                <w:sz w:val="24"/>
                <w:szCs w:val="24"/>
                <w:highlight w:val="yellow"/>
                <w:u w:val="single"/>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hint="default" w:ascii="宋体" w:hAnsi="宋体" w:eastAsia="宋体" w:cs="宋体"/>
                <w:b w:val="0"/>
                <w:bCs/>
                <w:snapToGrid w:val="0"/>
                <w:kern w:val="0"/>
                <w:sz w:val="24"/>
                <w:szCs w:val="24"/>
                <w:highlight w:val="yellow"/>
                <w:lang w:val="en-US" w:eastAsia="zh-CN"/>
              </w:rPr>
            </w:pPr>
            <w:r>
              <w:rPr>
                <w:rFonts w:hint="eastAsia" w:ascii="宋体" w:hAnsi="宋体" w:eastAsia="宋体" w:cs="宋体"/>
                <w:b/>
                <w:bCs w:val="0"/>
                <w:snapToGrid w:val="0"/>
                <w:kern w:val="0"/>
                <w:sz w:val="24"/>
                <w:szCs w:val="24"/>
                <w:highlight w:val="yellow"/>
                <w:lang w:val="en-US" w:eastAsia="zh-CN"/>
              </w:rPr>
              <w:t>商务</w:t>
            </w:r>
            <w:r>
              <w:rPr>
                <w:rFonts w:hint="eastAsia" w:ascii="宋体" w:hAnsi="宋体" w:eastAsia="宋体" w:cs="宋体"/>
                <w:b/>
                <w:bCs w:val="0"/>
                <w:snapToGrid w:val="0"/>
                <w:kern w:val="0"/>
                <w:sz w:val="24"/>
                <w:szCs w:val="24"/>
                <w:highlight w:val="yellow"/>
              </w:rPr>
              <w:t>联系人</w:t>
            </w:r>
            <w:r>
              <w:rPr>
                <w:rFonts w:hint="eastAsia" w:ascii="宋体" w:hAnsi="宋体" w:eastAsia="宋体" w:cs="宋体"/>
                <w:b/>
                <w:bCs w:val="0"/>
                <w:snapToGrid w:val="0"/>
                <w:kern w:val="0"/>
                <w:sz w:val="24"/>
                <w:szCs w:val="24"/>
                <w:highlight w:val="yellow"/>
                <w:lang w:eastAsia="zh-CN"/>
              </w:rPr>
              <w:t>：</w:t>
            </w:r>
            <w:r>
              <w:rPr>
                <w:rFonts w:hint="eastAsia" w:ascii="宋体" w:hAnsi="宋体" w:eastAsia="宋体" w:cs="宋体"/>
                <w:b w:val="0"/>
                <w:bCs/>
                <w:snapToGrid w:val="0"/>
                <w:kern w:val="0"/>
                <w:sz w:val="24"/>
                <w:szCs w:val="24"/>
                <w:highlight w:val="yellow"/>
                <w:lang w:val="en-US" w:eastAsia="zh-CN"/>
              </w:rPr>
              <w:t>杨淑超</w:t>
            </w:r>
          </w:p>
          <w:p>
            <w:pPr>
              <w:pStyle w:val="20"/>
              <w:ind w:firstLine="482" w:firstLineChars="200"/>
              <w:rPr>
                <w:rFonts w:hint="default" w:eastAsia="宋体"/>
                <w:b w:val="0"/>
                <w:bCs/>
                <w:highlight w:val="yellow"/>
                <w:lang w:val="en-US" w:eastAsia="zh-CN"/>
              </w:rPr>
            </w:pPr>
            <w:r>
              <w:rPr>
                <w:rFonts w:hint="eastAsia" w:hAnsi="宋体" w:eastAsia="宋体" w:cs="宋体"/>
                <w:b/>
                <w:bCs w:val="0"/>
                <w:snapToGrid w:val="0"/>
                <w:kern w:val="0"/>
                <w:sz w:val="24"/>
                <w:szCs w:val="24"/>
                <w:highlight w:val="yellow"/>
              </w:rPr>
              <w:t>电话：</w:t>
            </w:r>
            <w:r>
              <w:rPr>
                <w:rFonts w:hint="eastAsia" w:hAnsi="宋体" w:cs="宋体"/>
                <w:b w:val="0"/>
                <w:bCs/>
                <w:snapToGrid w:val="0"/>
                <w:kern w:val="0"/>
                <w:sz w:val="24"/>
                <w:szCs w:val="24"/>
                <w:highlight w:val="yellow"/>
                <w:lang w:val="en-US" w:eastAsia="zh-CN"/>
              </w:rPr>
              <w:t>17860605820</w:t>
            </w:r>
          </w:p>
          <w:p>
            <w:pPr>
              <w:ind w:firstLine="482" w:firstLineChars="200"/>
              <w:rPr>
                <w:rFonts w:hint="eastAsia" w:ascii="宋体" w:hAnsi="宋体" w:eastAsia="宋体" w:cs="宋体"/>
                <w:b w:val="0"/>
                <w:bCs/>
                <w:snapToGrid w:val="0"/>
                <w:kern w:val="0"/>
                <w:sz w:val="24"/>
                <w:szCs w:val="24"/>
                <w:highlight w:val="yellow"/>
              </w:rPr>
            </w:pPr>
            <w:r>
              <w:rPr>
                <w:rFonts w:hint="eastAsia" w:ascii="宋体" w:hAnsi="宋体" w:eastAsia="宋体" w:cs="宋体"/>
                <w:b/>
                <w:bCs w:val="0"/>
                <w:snapToGrid w:val="0"/>
                <w:kern w:val="0"/>
                <w:sz w:val="24"/>
                <w:szCs w:val="24"/>
                <w:highlight w:val="yellow"/>
              </w:rPr>
              <w:t>邮箱：</w:t>
            </w:r>
            <w:r>
              <w:rPr>
                <w:rFonts w:hint="eastAsia" w:ascii="宋体" w:hAnsi="宋体" w:eastAsia="宋体" w:cs="宋体"/>
                <w:b w:val="0"/>
                <w:bCs/>
                <w:snapToGrid w:val="0"/>
                <w:kern w:val="0"/>
                <w:sz w:val="24"/>
                <w:szCs w:val="24"/>
                <w:highlight w:val="yellow"/>
                <w:lang w:val="en-US" w:eastAsia="zh-CN"/>
              </w:rPr>
              <w:t>yangshuchao@sinotruk.com</w:t>
            </w:r>
          </w:p>
          <w:p>
            <w:pPr>
              <w:ind w:firstLine="482" w:firstLineChars="200"/>
              <w:rPr>
                <w:rFonts w:hint="eastAsia" w:ascii="宋体" w:hAnsi="宋体" w:eastAsia="宋体" w:cs="宋体"/>
                <w:b w:val="0"/>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 w:val="0"/>
                <w:bCs/>
                <w:snapToGrid w:val="0"/>
                <w:kern w:val="0"/>
                <w:sz w:val="24"/>
                <w:szCs w:val="24"/>
                <w:highlight w:val="yellow"/>
                <w:lang w:val="en-US" w:eastAsia="zh-CN"/>
              </w:rPr>
              <w:t>张莹</w:t>
            </w:r>
          </w:p>
          <w:p>
            <w:pPr>
              <w:ind w:firstLine="482" w:firstLineChars="200"/>
              <w:rPr>
                <w:rFonts w:hint="default" w:ascii="宋体" w:hAnsi="宋体" w:eastAsia="宋体" w:cs="宋体"/>
                <w:b w:val="0"/>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ascii="宋体" w:hAnsi="宋体" w:eastAsia="宋体" w:cs="宋体"/>
                <w:b w:val="0"/>
                <w:bCs/>
                <w:snapToGrid w:val="0"/>
                <w:kern w:val="0"/>
                <w:sz w:val="24"/>
                <w:szCs w:val="24"/>
                <w:highlight w:val="yellow"/>
              </w:rPr>
              <w:t>1</w:t>
            </w:r>
            <w:r>
              <w:rPr>
                <w:rFonts w:hint="eastAsia" w:ascii="宋体" w:hAnsi="宋体" w:eastAsia="宋体" w:cs="宋体"/>
                <w:b w:val="0"/>
                <w:bCs/>
                <w:snapToGrid w:val="0"/>
                <w:kern w:val="0"/>
                <w:sz w:val="24"/>
                <w:szCs w:val="24"/>
                <w:highlight w:val="yellow"/>
                <w:lang w:val="en-US" w:eastAsia="zh-CN"/>
              </w:rPr>
              <w:t>8253155258</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hint="eastAsia" w:ascii="宋体" w:hAnsi="宋体" w:eastAsia="宋体" w:cs="宋体"/>
                <w:b w:val="0"/>
                <w:bCs/>
                <w:snapToGrid w:val="0"/>
                <w:kern w:val="0"/>
                <w:sz w:val="24"/>
                <w:szCs w:val="24"/>
                <w:highlight w:val="yellow"/>
              </w:rPr>
              <w:t>zxzhangy@sinotruk.com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pPr>
              <w:pStyle w:val="5"/>
              <w:rPr>
                <w:rFonts w:hint="eastAsia" w:ascii="宋体" w:hAnsi="宋体" w:eastAsia="宋体" w:cs="宋体"/>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b/>
                <w:bCs/>
                <w:color w:val="000000"/>
                <w:sz w:val="24"/>
                <w:szCs w:val="24"/>
              </w:rPr>
              <w:t>投标限价</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人民币</w:t>
            </w:r>
            <w:r>
              <w:rPr>
                <w:rFonts w:hint="eastAsia" w:ascii="宋体" w:hAnsi="宋体" w:cs="宋体"/>
                <w:b/>
                <w:bCs/>
                <w:color w:val="000000"/>
                <w:sz w:val="24"/>
                <w:szCs w:val="24"/>
                <w:highlight w:val="yellow"/>
                <w:lang w:val="en-US" w:eastAsia="zh-CN"/>
              </w:rPr>
              <w:t>259.9</w:t>
            </w:r>
            <w:r>
              <w:rPr>
                <w:rFonts w:hint="eastAsia" w:ascii="宋体" w:hAnsi="宋体" w:eastAsia="宋体" w:cs="宋体"/>
                <w:color w:val="000000"/>
                <w:sz w:val="24"/>
                <w:szCs w:val="24"/>
                <w:highlight w:val="yellow"/>
              </w:rPr>
              <w:t>万元（含税，税率13%）</w:t>
            </w:r>
            <w:r>
              <w:rPr>
                <w:rFonts w:hint="eastAsia" w:ascii="宋体" w:hAnsi="宋体" w:eastAsia="宋体" w:cs="宋体"/>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color w:val="000000"/>
                <w:sz w:val="24"/>
                <w:szCs w:val="24"/>
              </w:rPr>
            </w:pPr>
            <w:r>
              <w:rPr>
                <w:rFonts w:hint="eastAsia" w:ascii="宋体" w:hAnsi="宋体" w:eastAsia="宋体" w:cs="宋体"/>
                <w:b/>
                <w:bCs/>
                <w:sz w:val="24"/>
                <w:szCs w:val="24"/>
                <w:highlight w:val="yellow"/>
              </w:rPr>
              <w:t>Ⅰ.对于中国境内投标人，投标条件如下：</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450</w:t>
            </w:r>
            <w:r>
              <w:rPr>
                <w:rFonts w:hint="eastAsia" w:ascii="宋体" w:hAnsi="宋体" w:eastAsia="宋体" w:cs="宋体"/>
                <w:color w:val="000000"/>
                <w:sz w:val="24"/>
                <w:szCs w:val="24"/>
              </w:rPr>
              <w:t>万人民币（或等值其他货币）；公司成立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4.拟投标人在工商行政管理局的《国家企业信用信息公示系统》中查询不存在不良记录；</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ascii="宋体" w:hAnsi="宋体" w:eastAsia="宋体" w:cs="宋体"/>
                <w:sz w:val="24"/>
                <w:szCs w:val="24"/>
                <w:highlight w:val="yellow"/>
              </w:rPr>
              <w:t>2022年1月1日</w:t>
            </w:r>
            <w:r>
              <w:rPr>
                <w:rFonts w:hint="eastAsia" w:ascii="宋体" w:hAnsi="宋体" w:eastAsia="宋体" w:cs="宋体"/>
                <w:sz w:val="24"/>
                <w:szCs w:val="24"/>
              </w:rPr>
              <w:t>至今</w:t>
            </w:r>
            <w:r>
              <w:rPr>
                <w:rFonts w:hint="eastAsia" w:ascii="宋体" w:hAnsi="宋体" w:eastAsia="宋体" w:cs="宋体"/>
                <w:color w:val="000000"/>
                <w:sz w:val="24"/>
                <w:szCs w:val="24"/>
                <w:highlight w:val="yellow"/>
              </w:rPr>
              <w:t>经</w:t>
            </w:r>
            <w:r>
              <w:rPr>
                <w:rFonts w:hint="eastAsia" w:ascii="宋体" w:hAnsi="宋体" w:eastAsia="宋体" w:cs="宋体"/>
                <w:b/>
                <w:bCs/>
                <w:color w:val="000000"/>
                <w:sz w:val="24"/>
                <w:szCs w:val="24"/>
                <w:highlight w:val="yellow"/>
              </w:rPr>
              <w:t>第三方</w:t>
            </w:r>
            <w:r>
              <w:rPr>
                <w:rFonts w:hint="eastAsia" w:ascii="宋体" w:hAnsi="宋体" w:eastAsia="宋体" w:cs="宋体"/>
                <w:color w:val="000000"/>
                <w:sz w:val="24"/>
                <w:szCs w:val="24"/>
                <w:highlight w:val="yellow"/>
              </w:rPr>
              <w:t>审计</w:t>
            </w:r>
            <w:r>
              <w:rPr>
                <w:rFonts w:hint="eastAsia" w:ascii="宋体" w:hAnsi="宋体" w:eastAsia="宋体" w:cs="宋体"/>
                <w:color w:val="000000"/>
                <w:sz w:val="24"/>
                <w:szCs w:val="24"/>
              </w:rPr>
              <w:t>的公司财务报表（资产负债表、损益表、现金流量表）未显示异常；</w:t>
            </w:r>
          </w:p>
          <w:p>
            <w:pPr>
              <w:pStyle w:val="20"/>
              <w:ind w:firstLine="480" w:firstLineChars="200"/>
              <w:rPr>
                <w:rFonts w:hint="eastAsia" w:ascii="宋体" w:hAnsi="宋体" w:eastAsia="宋体" w:cs="宋体"/>
                <w:kern w:val="0"/>
                <w:sz w:val="24"/>
                <w:szCs w:val="24"/>
                <w:lang w:bidi="ar"/>
              </w:rPr>
            </w:pPr>
            <w:r>
              <w:rPr>
                <w:rFonts w:hint="eastAsia" w:ascii="宋体" w:hAnsi="宋体" w:eastAsia="宋体" w:cs="宋体"/>
                <w:color w:val="000000"/>
                <w:kern w:val="0"/>
                <w:sz w:val="24"/>
                <w:szCs w:val="24"/>
              </w:rPr>
              <w:t>7.</w:t>
            </w:r>
            <w:r>
              <w:rPr>
                <w:rFonts w:hint="eastAsia" w:ascii="宋体"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8.投标人三年内无违法及重大违规情况；</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9.投标人须认可招标人的工作指令，包括节、假日能正常开展工作的要求；</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10.投标人最近半年纳税正常；</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11.投标人信用证明材料（中国人民银行信用代码证+征信报告）未显示异常；</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12.供方的直接或间接股东、法定代表人、董事、监事、高管非重汽员工及其亲属；</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13.如为代理商投标，需获得生产厂家正式授权，提供授权书原件，保证提供原厂售后服务并提供原厂售后服务承诺书原件。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color w:val="000000"/>
                <w:kern w:val="2"/>
                <w:sz w:val="24"/>
                <w:szCs w:val="24"/>
                <w:highlight w:val="yellow"/>
                <w:u w:val="single"/>
                <w:lang w:val="en-US" w:eastAsia="zh-CN" w:bidi="ar-SA"/>
              </w:rPr>
              <w:t>2025年09月15日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rPr>
            </w:pPr>
            <w:r>
              <w:rPr>
                <w:rFonts w:hint="eastAsia" w:ascii="宋体" w:hAnsi="宋体" w:eastAsia="宋体" w:cs="宋体"/>
                <w:sz w:val="24"/>
                <w:szCs w:val="24"/>
              </w:rPr>
              <w:t>发标方式：中国重汽官网、山东省阳光采购服务平台</w:t>
            </w:r>
            <w:r>
              <w:rPr>
                <w:rFonts w:hint="eastAsia" w:ascii="宋体"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color w:val="000000"/>
                <w:kern w:val="2"/>
                <w:sz w:val="24"/>
                <w:szCs w:val="24"/>
                <w:highlight w:val="yellow"/>
                <w:u w:val="single"/>
                <w:lang w:val="en-US" w:eastAsia="zh-CN" w:bidi="ar-SA"/>
              </w:rPr>
              <w:t>2025年10月12日17:00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zxzhangy@sinotruk.com</w:t>
            </w:r>
            <w:r>
              <w:rPr>
                <w:rFonts w:hint="eastAsia" w:ascii="宋体" w:hAnsi="宋体" w:eastAsia="宋体" w:cs="宋体"/>
                <w:sz w:val="24"/>
                <w:szCs w:val="24"/>
              </w:rPr>
              <w:t>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000000"/>
                <w:kern w:val="2"/>
                <w:sz w:val="24"/>
                <w:szCs w:val="24"/>
                <w:highlight w:val="yellow"/>
                <w:u w:val="single"/>
                <w:lang w:val="en-US" w:eastAsia="zh-CN" w:bidi="ar-SA"/>
              </w:rPr>
              <w:t>2025年10月12日17:00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ascii="宋体" w:hAnsi="宋体" w:eastAsia="宋体" w:cs="宋体"/>
                <w:b/>
                <w:bCs/>
              </w:rPr>
            </w:pPr>
            <w:r>
              <w:rPr>
                <w:rFonts w:hint="eastAsia" w:ascii="宋体" w:hAnsi="宋体" w:eastAsia="宋体" w:cs="宋体"/>
                <w:b/>
                <w:bCs/>
              </w:rPr>
              <w:t>报名方式：</w:t>
            </w:r>
            <w:r>
              <w:rPr>
                <w:rFonts w:hint="eastAsia" w:ascii="宋体" w:hAnsi="宋体" w:eastAsia="宋体" w:cs="宋体"/>
              </w:rPr>
              <w:t>拟投标人根据招标</w:t>
            </w:r>
            <w:bookmarkStart w:id="207" w:name="_GoBack"/>
            <w:bookmarkEnd w:id="207"/>
            <w:r>
              <w:rPr>
                <w:rFonts w:hint="eastAsia" w:ascii="宋体" w:hAnsi="宋体" w:eastAsia="宋体" w:cs="宋体"/>
              </w:rPr>
              <w:t>人在中国重汽官网等公开媒体上发布的招标信息，在“中国重汽e采通”平台报名。</w:t>
            </w:r>
            <w:r>
              <w:rPr>
                <w:rFonts w:hint="eastAsia" w:ascii="宋体" w:hAnsi="宋体" w:eastAsia="宋体" w:cs="宋体"/>
                <w:b/>
                <w:bCs/>
              </w:rPr>
              <w:t>按照中国重汽e采通“SRM非生产供应商注册手册”（附件15）进行注册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后按照招标文件第三部分投标文件组成资格证明文件中的1.1-1.12准备资料并</w:t>
            </w:r>
            <w:r>
              <w:rPr>
                <w:rFonts w:hint="eastAsia" w:ascii="宋体" w:hAnsi="宋体" w:eastAsia="宋体" w:cs="宋体"/>
              </w:rPr>
              <w:t>上传，资质审查通过即为报名成功；公示期间请尽快报名。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ascii="宋体" w:hAnsi="宋体" w:eastAsia="宋体" w:cs="宋体"/>
                <w:highlight w:val="yellow"/>
                <w:u w:val="single"/>
              </w:rPr>
            </w:pPr>
            <w:r>
              <w:rPr>
                <w:rFonts w:hint="eastAsia" w:ascii="宋体" w:hAnsi="宋体" w:eastAsia="宋体" w:cs="宋体"/>
                <w:b/>
                <w:bCs/>
              </w:rPr>
              <w:t>应标截止时间：</w:t>
            </w:r>
            <w:r>
              <w:rPr>
                <w:rFonts w:hint="eastAsia" w:ascii="宋体" w:hAnsi="宋体" w:eastAsia="宋体" w:cs="宋体"/>
                <w:highlight w:val="yellow"/>
                <w:u w:val="single"/>
              </w:rPr>
              <w:t>2025年0</w:t>
            </w:r>
            <w:r>
              <w:rPr>
                <w:rFonts w:hint="eastAsia" w:ascii="宋体" w:hAnsi="宋体" w:eastAsia="宋体" w:cs="宋体"/>
                <w:highlight w:val="yellow"/>
                <w:u w:val="single"/>
                <w:lang w:val="en-US" w:eastAsia="zh-CN"/>
              </w:rPr>
              <w:t>9</w:t>
            </w:r>
            <w:r>
              <w:rPr>
                <w:rFonts w:hint="eastAsia" w:ascii="宋体" w:hAnsi="宋体" w:eastAsia="宋体" w:cs="宋体"/>
                <w:highlight w:val="yellow"/>
                <w:u w:val="single"/>
              </w:rPr>
              <w:t>月</w:t>
            </w:r>
            <w:r>
              <w:rPr>
                <w:rFonts w:hint="eastAsia" w:eastAsia="宋体" w:cs="宋体"/>
                <w:highlight w:val="yellow"/>
                <w:u w:val="single"/>
                <w:lang w:val="en-US" w:eastAsia="zh-CN"/>
              </w:rPr>
              <w:t>23</w:t>
            </w:r>
            <w:r>
              <w:rPr>
                <w:rFonts w:hint="eastAsia" w:ascii="宋体" w:hAnsi="宋体" w:eastAsia="宋体" w:cs="宋体"/>
                <w:highlight w:val="yellow"/>
                <w:u w:val="single"/>
              </w:rPr>
              <w:t>日17时00分00秒</w:t>
            </w:r>
          </w:p>
          <w:p>
            <w:pPr>
              <w:pStyle w:val="115"/>
              <w:spacing w:line="240" w:lineRule="auto"/>
              <w:ind w:firstLine="482"/>
              <w:rPr>
                <w:rFonts w:hint="eastAsia" w:ascii="宋体" w:hAnsi="宋体" w:eastAsia="宋体" w:cs="宋体"/>
                <w:highlight w:val="yellow"/>
              </w:rPr>
            </w:pPr>
            <w:r>
              <w:rPr>
                <w:rFonts w:hint="eastAsia" w:ascii="宋体" w:hAnsi="宋体"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z w:val="24"/>
                <w:szCs w:val="24"/>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p>
            <w:pPr>
              <w:ind w:firstLine="420" w:firstLineChars="200"/>
              <w:rPr>
                <w:rFonts w:hint="eastAsia" w:ascii="宋体" w:hAnsi="宋体" w:eastAsia="宋体" w:cs="宋体"/>
                <w:bCs/>
                <w:sz w:val="24"/>
                <w:szCs w:val="24"/>
              </w:rPr>
            </w:pPr>
            <w:r>
              <w:rPr>
                <w:rFonts w:hint="eastAsia" w:ascii="宋体" w:hAnsi="宋体" w:eastAsia="宋体" w:cs="宋体"/>
                <w:bCs/>
              </w:rPr>
              <w:t xml:space="preserve"> </w:t>
            </w:r>
            <w:r>
              <w:rPr>
                <w:rFonts w:hint="eastAsia" w:ascii="宋体" w:hAnsi="宋体" w:eastAsia="宋体" w:cs="宋体"/>
                <w:bCs/>
                <w:sz w:val="24"/>
                <w:szCs w:val="24"/>
              </w:rPr>
              <w:t>纸质版投标文件的份数要求为</w:t>
            </w:r>
            <w:r>
              <w:rPr>
                <w:rFonts w:hint="eastAsia" w:ascii="宋体" w:hAnsi="宋体" w:eastAsia="宋体" w:cs="宋体"/>
                <w:b/>
                <w:sz w:val="24"/>
                <w:szCs w:val="24"/>
                <w:highlight w:val="yellow"/>
              </w:rPr>
              <w:t>一式三份，正本一份，副本两份</w:t>
            </w:r>
            <w:r>
              <w:rPr>
                <w:rFonts w:hint="eastAsia" w:ascii="宋体" w:hAnsi="宋体"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ascii="宋体" w:hAnsi="宋体" w:eastAsia="宋体" w:cs="宋体"/>
                <w:b/>
                <w:sz w:val="24"/>
                <w:szCs w:val="24"/>
              </w:rPr>
              <w:t>同类文件封装在一个包封里，包封表面按照附件13标注文件信息；共计三个包封</w:t>
            </w:r>
            <w:r>
              <w:rPr>
                <w:rFonts w:hint="eastAsia" w:ascii="宋体" w:hAnsi="宋体" w:eastAsia="宋体" w:cs="宋体"/>
                <w:bCs/>
                <w:sz w:val="24"/>
                <w:szCs w:val="24"/>
              </w:rPr>
              <w:t>。</w:t>
            </w:r>
          </w:p>
          <w:p>
            <w:pPr>
              <w:pStyle w:val="20"/>
              <w:ind w:firstLine="480" w:firstLineChars="200"/>
              <w:rPr>
                <w:rFonts w:hint="eastAsia" w:ascii="宋体" w:hAnsi="宋体" w:eastAsia="宋体" w:cs="宋体"/>
                <w:bCs/>
                <w:sz w:val="24"/>
                <w:szCs w:val="24"/>
              </w:rPr>
            </w:pPr>
            <w:r>
              <w:rPr>
                <w:rFonts w:hint="eastAsia" w:hAnsi="宋体" w:eastAsia="宋体" w:cs="宋体"/>
                <w:bCs/>
                <w:sz w:val="24"/>
                <w:szCs w:val="24"/>
                <w:lang w:val="en-US" w:eastAsia="zh-CN"/>
              </w:rPr>
              <w:t>线下</w:t>
            </w:r>
            <w:r>
              <w:rPr>
                <w:rFonts w:hint="eastAsia" w:ascii="宋体" w:hAnsi="宋体" w:eastAsia="宋体" w:cs="宋体"/>
                <w:bCs/>
                <w:sz w:val="24"/>
                <w:szCs w:val="24"/>
              </w:rPr>
              <w:t>开标，自行携带纸质投标文件于开标前至开标地点即可。</w:t>
            </w:r>
          </w:p>
          <w:p>
            <w:pPr>
              <w:pStyle w:val="20"/>
              <w:ind w:firstLine="480" w:firstLineChars="200"/>
              <w:rPr>
                <w:rFonts w:hint="eastAsia" w:ascii="宋体" w:hAnsi="宋体" w:eastAsia="宋体" w:cs="宋体"/>
                <w:bCs/>
                <w:sz w:val="24"/>
                <w:szCs w:val="24"/>
              </w:rPr>
            </w:pPr>
            <w:r>
              <w:rPr>
                <w:rFonts w:hint="eastAsia" w:ascii="宋体" w:hAnsi="宋体" w:eastAsia="宋体" w:cs="宋体"/>
                <w:bCs/>
                <w:sz w:val="24"/>
                <w:szCs w:val="24"/>
              </w:rPr>
              <w:t>线上开标，纸质投标文件需在开标日前两天，邮寄到指定地址。</w:t>
            </w:r>
          </w:p>
          <w:p>
            <w:pPr>
              <w:pStyle w:val="20"/>
              <w:rPr>
                <w:rFonts w:hint="eastAsia" w:ascii="宋体" w:hAnsi="宋体" w:eastAsia="宋体" w:cs="宋体"/>
                <w:b w:val="0"/>
                <w:bCs w:val="0"/>
                <w:color w:val="000000"/>
                <w:sz w:val="24"/>
                <w:szCs w:val="24"/>
                <w:highlight w:val="yellow"/>
              </w:rPr>
            </w:pPr>
            <w:r>
              <w:rPr>
                <w:rFonts w:hint="eastAsia" w:ascii="宋体" w:hAnsi="宋体" w:eastAsia="宋体" w:cs="宋体"/>
                <w:b/>
                <w:sz w:val="24"/>
                <w:szCs w:val="24"/>
              </w:rPr>
              <w:t>邮寄地址：</w:t>
            </w:r>
            <w:r>
              <w:rPr>
                <w:rFonts w:hint="eastAsia" w:ascii="宋体" w:hAnsi="宋体" w:eastAsia="宋体" w:cs="宋体"/>
                <w:b w:val="0"/>
                <w:bCs w:val="0"/>
                <w:color w:val="000000"/>
                <w:sz w:val="24"/>
                <w:szCs w:val="24"/>
                <w:highlight w:val="yellow"/>
              </w:rPr>
              <w:t>山东省济南市历城区华奥路777号</w:t>
            </w:r>
          </w:p>
          <w:p>
            <w:pPr>
              <w:pStyle w:val="20"/>
              <w:rPr>
                <w:rFonts w:hint="default" w:ascii="宋体" w:hAnsi="宋体" w:eastAsia="宋体" w:cs="宋体"/>
                <w:color w:val="000000"/>
                <w:sz w:val="24"/>
                <w:szCs w:val="24"/>
                <w:lang w:val="en-US"/>
              </w:rPr>
            </w:pPr>
            <w:r>
              <w:rPr>
                <w:rFonts w:hint="eastAsia" w:ascii="宋体" w:hAnsi="宋体" w:eastAsia="宋体" w:cs="宋体"/>
                <w:b/>
                <w:bCs/>
                <w:color w:val="000000"/>
                <w:sz w:val="24"/>
                <w:szCs w:val="24"/>
              </w:rPr>
              <w:t>联系人及联系方式</w:t>
            </w:r>
            <w:r>
              <w:rPr>
                <w:rFonts w:hint="eastAsia" w:ascii="宋体" w:hAnsi="宋体" w:eastAsia="宋体" w:cs="宋体"/>
                <w:color w:val="000000"/>
                <w:sz w:val="24"/>
                <w:szCs w:val="24"/>
                <w:highlight w:val="yellow"/>
              </w:rPr>
              <w:t>：</w:t>
            </w:r>
            <w:r>
              <w:rPr>
                <w:rFonts w:hint="eastAsia" w:hAnsi="宋体" w:eastAsia="宋体" w:cs="宋体"/>
                <w:b w:val="0"/>
                <w:bCs w:val="0"/>
                <w:color w:val="000000"/>
                <w:sz w:val="24"/>
                <w:szCs w:val="24"/>
                <w:highlight w:val="yellow"/>
                <w:lang w:val="en-US" w:eastAsia="zh-CN"/>
              </w:rPr>
              <w:t>杨淑超</w:t>
            </w:r>
            <w:r>
              <w:rPr>
                <w:rFonts w:hint="eastAsia" w:ascii="宋体" w:hAnsi="宋体" w:eastAsia="宋体" w:cs="宋体"/>
                <w:b w:val="0"/>
                <w:bCs w:val="0"/>
                <w:color w:val="000000"/>
                <w:sz w:val="24"/>
                <w:szCs w:val="24"/>
                <w:highlight w:val="yellow"/>
              </w:rPr>
              <w:t>/</w:t>
            </w:r>
            <w:r>
              <w:rPr>
                <w:rFonts w:hint="eastAsia" w:hAnsi="宋体" w:eastAsia="宋体" w:cs="宋体"/>
                <w:b w:val="0"/>
                <w:bCs w:val="0"/>
                <w:snapToGrid w:val="0"/>
                <w:kern w:val="0"/>
                <w:sz w:val="24"/>
                <w:szCs w:val="24"/>
                <w:highlight w:val="yellow"/>
                <w:lang w:val="en-US" w:eastAsia="zh-CN"/>
              </w:rPr>
              <w:t>17860605820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460" w:lineRule="exact"/>
              <w:ind w:firstLine="482" w:firstLineChars="200"/>
              <w:rPr>
                <w:rFonts w:hint="eastAsia" w:ascii="宋体" w:hAnsi="宋体" w:eastAsia="宋体" w:cs="宋体"/>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ascii="宋体" w:hAnsi="宋体" w:eastAsia="宋体" w:cs="宋体"/>
                <w:b/>
                <w:sz w:val="24"/>
                <w:szCs w:val="24"/>
              </w:rPr>
            </w:pPr>
            <w:r>
              <w:rPr>
                <w:rFonts w:hint="eastAsia" w:ascii="宋体"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color w:val="000000"/>
                <w:kern w:val="2"/>
                <w:sz w:val="24"/>
                <w:szCs w:val="24"/>
                <w:highlight w:val="yellow"/>
                <w:u w:val="single"/>
                <w:lang w:val="en-US" w:eastAsia="zh-CN" w:bidi="ar-SA"/>
              </w:rPr>
              <w:t>2025年</w:t>
            </w:r>
            <w:r>
              <w:rPr>
                <w:rFonts w:hint="eastAsia" w:hAnsi="宋体" w:eastAsia="宋体" w:cs="宋体"/>
                <w:color w:val="000000"/>
                <w:kern w:val="2"/>
                <w:sz w:val="24"/>
                <w:szCs w:val="24"/>
                <w:highlight w:val="yellow"/>
                <w:u w:val="single"/>
                <w:lang w:val="en-US" w:eastAsia="zh-CN" w:bidi="ar-SA"/>
              </w:rPr>
              <w:t>10</w:t>
            </w:r>
            <w:r>
              <w:rPr>
                <w:rFonts w:hint="eastAsia" w:ascii="宋体" w:hAnsi="宋体" w:eastAsia="宋体" w:cs="宋体"/>
                <w:color w:val="000000"/>
                <w:kern w:val="2"/>
                <w:sz w:val="24"/>
                <w:szCs w:val="24"/>
                <w:highlight w:val="yellow"/>
                <w:u w:val="single"/>
                <w:lang w:val="en-US" w:eastAsia="zh-CN" w:bidi="ar-SA"/>
              </w:rPr>
              <w:t>月</w:t>
            </w:r>
            <w:r>
              <w:rPr>
                <w:rFonts w:hint="eastAsia" w:hAnsi="宋体" w:eastAsia="宋体" w:cs="宋体"/>
                <w:color w:val="000000"/>
                <w:kern w:val="2"/>
                <w:sz w:val="24"/>
                <w:szCs w:val="24"/>
                <w:highlight w:val="yellow"/>
                <w:u w:val="single"/>
                <w:lang w:val="en-US" w:eastAsia="zh-CN" w:bidi="ar-SA"/>
              </w:rPr>
              <w:t>14</w:t>
            </w:r>
            <w:r>
              <w:rPr>
                <w:rFonts w:hint="eastAsia" w:ascii="宋体" w:hAnsi="宋体" w:eastAsia="宋体" w:cs="宋体"/>
                <w:color w:val="000000"/>
                <w:kern w:val="2"/>
                <w:sz w:val="24"/>
                <w:szCs w:val="24"/>
                <w:highlight w:val="yellow"/>
                <w:u w:val="single"/>
                <w:lang w:val="en-US" w:eastAsia="zh-CN" w:bidi="ar-SA"/>
              </w:rPr>
              <w:t>日8:00</w:t>
            </w:r>
          </w:p>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eastAsia="宋体" w:cs="宋体"/>
                <w:sz w:val="24"/>
                <w:szCs w:val="24"/>
                <w:highlight w:val="yellow"/>
                <w:u w:val="single"/>
              </w:rPr>
            </w:pPr>
            <w:r>
              <w:rPr>
                <w:rFonts w:hint="eastAsia" w:ascii="宋体" w:hAnsi="宋体" w:eastAsia="宋体" w:cs="宋体"/>
                <w:sz w:val="24"/>
                <w:szCs w:val="24"/>
                <w:highlight w:val="yellow"/>
              </w:rPr>
              <w:t>Ⅰ.境内投标单位缴纳投标保证金信息：</w:t>
            </w:r>
          </w:p>
          <w:p>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000.00元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投标保证金应从投标人基本账户转出至上述账户并到账，否则视为无效投标。</w:t>
            </w:r>
          </w:p>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Ⅱ.</w:t>
            </w:r>
            <w:r>
              <w:rPr>
                <w:rFonts w:hint="eastAsia" w:ascii="宋体" w:hAnsi="宋体" w:eastAsia="宋体" w:cs="宋体"/>
                <w:sz w:val="24"/>
                <w:szCs w:val="24"/>
                <w:highlight w:val="yellow"/>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ascii="宋体" w:hAnsi="宋体" w:eastAsia="宋体" w:cs="宋体"/>
                <w:sz w:val="24"/>
                <w:szCs w:val="24"/>
                <w:u w:val="single"/>
              </w:rPr>
            </w:pPr>
            <w:r>
              <w:rPr>
                <w:rFonts w:hint="eastAsia" w:ascii="宋体" w:hAnsi="宋体" w:eastAsia="宋体" w:cs="宋体"/>
                <w:b/>
                <w:bCs/>
                <w:sz w:val="24"/>
                <w:szCs w:val="24"/>
              </w:rPr>
              <w:t>保证金缴纳截止时间：</w:t>
            </w:r>
            <w:r>
              <w:rPr>
                <w:rFonts w:hint="eastAsia" w:ascii="宋体" w:hAnsi="宋体" w:eastAsia="宋体" w:cs="宋体"/>
                <w:highlight w:val="yellow"/>
                <w:u w:val="single"/>
              </w:rPr>
              <w:t>2025年</w:t>
            </w:r>
            <w:r>
              <w:rPr>
                <w:rFonts w:hint="eastAsia" w:eastAsia="宋体" w:cs="宋体"/>
                <w:highlight w:val="yellow"/>
                <w:u w:val="single"/>
                <w:lang w:val="en-US" w:eastAsia="zh-CN"/>
              </w:rPr>
              <w:t>10</w:t>
            </w:r>
            <w:r>
              <w:rPr>
                <w:rFonts w:hint="eastAsia" w:ascii="宋体" w:hAnsi="宋体" w:eastAsia="宋体" w:cs="宋体"/>
                <w:highlight w:val="yellow"/>
                <w:u w:val="single"/>
              </w:rPr>
              <w:t>月</w:t>
            </w:r>
            <w:r>
              <w:rPr>
                <w:rFonts w:hint="eastAsia" w:eastAsia="宋体" w:cs="宋体"/>
                <w:highlight w:val="yellow"/>
                <w:u w:val="single"/>
                <w:lang w:val="en-US" w:eastAsia="zh-CN"/>
              </w:rPr>
              <w:t>13</w:t>
            </w:r>
            <w:r>
              <w:rPr>
                <w:rFonts w:hint="eastAsia" w:ascii="宋体" w:hAnsi="宋体" w:eastAsia="宋体" w:cs="宋体"/>
                <w:highlight w:val="yellow"/>
                <w:u w:val="single"/>
              </w:rPr>
              <w:t>日17时00分00秒</w:t>
            </w:r>
          </w:p>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rPr>
              <w:t>开标时间：</w:t>
            </w:r>
            <w:r>
              <w:rPr>
                <w:rFonts w:hint="eastAsia" w:ascii="宋体" w:hAnsi="宋体" w:eastAsia="宋体" w:cs="宋体"/>
                <w:b w:val="0"/>
                <w:bCs w:val="0"/>
                <w:sz w:val="24"/>
                <w:szCs w:val="24"/>
                <w:highlight w:val="yellow"/>
                <w:u w:val="single"/>
              </w:rPr>
              <w:t>2025年</w:t>
            </w:r>
            <w:r>
              <w:rPr>
                <w:rFonts w:hint="eastAsia" w:ascii="宋体" w:hAnsi="宋体" w:eastAsia="宋体" w:cs="宋体"/>
                <w:b w:val="0"/>
                <w:bCs w:val="0"/>
                <w:sz w:val="24"/>
                <w:szCs w:val="24"/>
                <w:highlight w:val="yellow"/>
                <w:u w:val="single"/>
                <w:lang w:val="en-US" w:eastAsia="zh-CN"/>
              </w:rPr>
              <w:t>10</w:t>
            </w:r>
            <w:r>
              <w:rPr>
                <w:rFonts w:hint="eastAsia" w:ascii="宋体" w:hAnsi="宋体" w:eastAsia="宋体" w:cs="宋体"/>
                <w:b w:val="0"/>
                <w:bCs w:val="0"/>
                <w:sz w:val="24"/>
                <w:szCs w:val="24"/>
                <w:highlight w:val="yellow"/>
                <w:u w:val="single"/>
              </w:rPr>
              <w:t>月</w:t>
            </w:r>
            <w:r>
              <w:rPr>
                <w:rFonts w:hint="eastAsia" w:ascii="宋体" w:hAnsi="宋体" w:eastAsia="宋体" w:cs="宋体"/>
                <w:b w:val="0"/>
                <w:bCs w:val="0"/>
                <w:sz w:val="24"/>
                <w:szCs w:val="24"/>
                <w:highlight w:val="yellow"/>
                <w:u w:val="single"/>
                <w:lang w:val="en-US" w:eastAsia="zh-CN"/>
              </w:rPr>
              <w:t>14</w:t>
            </w:r>
            <w:r>
              <w:rPr>
                <w:rFonts w:hint="eastAsia" w:ascii="宋体" w:hAnsi="宋体" w:eastAsia="宋体" w:cs="宋体"/>
                <w:b w:val="0"/>
                <w:bCs w:val="0"/>
                <w:sz w:val="24"/>
                <w:szCs w:val="24"/>
                <w:highlight w:val="yellow"/>
                <w:u w:val="single"/>
              </w:rPr>
              <w:t>日</w:t>
            </w:r>
            <w:r>
              <w:rPr>
                <w:rFonts w:hint="eastAsia" w:ascii="宋体" w:hAnsi="宋体" w:eastAsia="宋体" w:cs="宋体"/>
                <w:b w:val="0"/>
                <w:bCs w:val="0"/>
                <w:sz w:val="24"/>
                <w:szCs w:val="24"/>
                <w:highlight w:val="yellow"/>
                <w:u w:val="single"/>
                <w:lang w:val="en-US" w:eastAsia="zh-CN"/>
              </w:rPr>
              <w:t>9</w:t>
            </w:r>
            <w:r>
              <w:rPr>
                <w:rFonts w:hint="eastAsia" w:ascii="宋体" w:hAnsi="宋体" w:eastAsia="宋体" w:cs="宋体"/>
                <w:b w:val="0"/>
                <w:bCs w:val="0"/>
                <w:sz w:val="24"/>
                <w:szCs w:val="24"/>
                <w:highlight w:val="yellow"/>
                <w:u w:val="single"/>
              </w:rPr>
              <w:t>:00</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重汽科技大厦三楼会议室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评标方法：资质标审核→技术标评审→商务标评审。技术标入围后，采用综合评标法，得分=技术标*30%+商务标*70%</w:t>
            </w:r>
            <w:r>
              <w:rPr>
                <w:rFonts w:hint="eastAsia" w:ascii="宋体" w:hAnsi="宋体" w:eastAsia="宋体" w:cs="宋体"/>
                <w:b/>
                <w:bCs/>
                <w:sz w:val="24"/>
                <w:szCs w:val="24"/>
                <w:lang w:eastAsia="zh-CN"/>
              </w:rPr>
              <w:t>。</w:t>
            </w:r>
            <w:r>
              <w:rPr>
                <w:rFonts w:hint="eastAsia" w:ascii="宋体" w:hAnsi="宋体" w:eastAsia="宋体" w:cs="宋体"/>
                <w:sz w:val="24"/>
                <w:szCs w:val="24"/>
              </w:rPr>
              <w:t>具体详见“</w:t>
            </w:r>
            <w:r>
              <w:rPr>
                <w:rFonts w:hint="eastAsia" w:ascii="宋体" w:hAnsi="宋体" w:eastAsia="宋体" w:cs="宋体"/>
                <w:sz w:val="24"/>
                <w:szCs w:val="24"/>
                <w:highlight w:val="none"/>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highlight w:val="yellow"/>
                <w:u w:val="single"/>
                <w:lang w:val="en-US" w:eastAsia="zh-CN"/>
              </w:rPr>
              <w:t>9</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之内交货至供货地点。</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highlight w:val="yellow"/>
                <w:u w:val="single"/>
                <w:lang w:val="en-US" w:eastAsia="zh-CN"/>
              </w:rPr>
              <w:t>9</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之内安装调试完毕，并投入使用。</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highlight w:val="yellow"/>
                <w:u w:val="single"/>
                <w:lang w:val="en-US" w:eastAsia="zh-CN"/>
              </w:rPr>
              <w:t>3</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之内完成终验收。</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hint="eastAsia" w:ascii="宋体" w:hAnsi="宋体" w:eastAsia="宋体" w:cs="宋体"/>
                <w:color w:val="000000"/>
                <w:sz w:val="24"/>
                <w:szCs w:val="24"/>
                <w:highlight w:val="yellow"/>
                <w:u w:val="single"/>
              </w:rPr>
              <w:t>20个日历日</w:t>
            </w:r>
            <w:r>
              <w:rPr>
                <w:rFonts w:hint="eastAsia" w:ascii="宋体"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pPr>
              <w:pStyle w:val="20"/>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济南市高新区华奥路777号重汽科技园区营销中心3楼。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eastAsia="宋体" w:cs="宋体"/>
                <w:sz w:val="24"/>
                <w:szCs w:val="24"/>
              </w:rPr>
            </w:pPr>
            <w:r>
              <w:rPr>
                <w:rFonts w:hint="eastAsia" w:ascii="宋体" w:hAnsi="宋体" w:eastAsia="宋体" w:cs="宋体"/>
                <w:b/>
                <w:bCs/>
                <w:sz w:val="24"/>
                <w:szCs w:val="24"/>
                <w:highlight w:val="yellow"/>
                <w:u w:val="single"/>
              </w:rPr>
              <w:t>Ⅰ.国内付款方式：半年期商业汇票（包括银行承兑汇票和商业承兑汇票）</w:t>
            </w:r>
          </w:p>
          <w:p>
            <w:pPr>
              <w:pStyle w:val="15"/>
              <w:ind w:firstLine="420" w:firstLineChars="200"/>
              <w:rPr>
                <w:rFonts w:hint="eastAsia"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rPr>
              <w:t>1）设备全部到货经检验无问题后，中标人提交金额为合同价款30%的收据并提供合同价款30%的增值税专用发票(含复印件二份)经招标人依照财务制度审核通过后【30】日支付;</w:t>
            </w:r>
          </w:p>
          <w:p>
            <w:pPr>
              <w:pStyle w:val="15"/>
              <w:ind w:firstLine="420" w:firstLineChars="200"/>
              <w:rPr>
                <w:rFonts w:hint="eastAsia"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lang w:val="en-US" w:eastAsia="zh-CN"/>
              </w:rPr>
              <w:t>2</w:t>
            </w:r>
            <w:r>
              <w:rPr>
                <w:rFonts w:hint="eastAsia" w:ascii="宋体" w:hAnsi="宋体" w:eastAsia="宋体" w:cs="宋体"/>
                <w:sz w:val="24"/>
                <w:szCs w:val="24"/>
              </w:rPr>
              <w:t>）设备终验收合格后，中标人提交金额为合同价款60%的收据并提供合同价款 70%的增值税专用发票(含复印件二份)，经招标人依照财务制度审核通过后【30】日支付;</w:t>
            </w:r>
          </w:p>
          <w:p>
            <w:pPr>
              <w:pStyle w:val="15"/>
              <w:ind w:firstLine="42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sz w:val="24"/>
                <w:szCs w:val="24"/>
                <w:lang w:val="en-US" w:eastAsia="zh-CN"/>
              </w:rPr>
              <w:t>3</w:t>
            </w:r>
            <w:r>
              <w:rPr>
                <w:rFonts w:hint="eastAsia" w:ascii="宋体" w:hAnsi="宋体" w:eastAsia="宋体" w:cs="宋体"/>
                <w:sz w:val="24"/>
                <w:szCs w:val="24"/>
              </w:rPr>
              <w:t>）合同总价款的10%作为本合同约定设备的质量保证金，质量保证金在质量保证期内不计利息。质保期届满后支付。如有质量问题，质量保证金予以相应扣除。</w:t>
            </w:r>
          </w:p>
          <w:p>
            <w:pPr>
              <w:pStyle w:val="15"/>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lang w:val="en-US" w:eastAsia="zh-CN"/>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hint="eastAsia" w:ascii="宋体" w:hAnsi="宋体" w:eastAsia="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pPr>
        <w:bidi w:val="0"/>
        <w:rPr>
          <w:rFonts w:hint="eastAsia"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bookmarkStart w:id="3" w:name="_Toc15609"/>
    </w:p>
    <w:p>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3"/>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20"/>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20"/>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20"/>
        <w:numPr>
          <w:ilvl w:val="0"/>
          <w:numId w:val="8"/>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20"/>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2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2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2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20"/>
        <w:spacing w:line="360" w:lineRule="auto"/>
        <w:rPr>
          <w:rFonts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spacing w:line="420" w:lineRule="exact"/>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5"/>
        <w:ind w:firstLine="480"/>
        <w:rPr>
          <w:rFonts w:eastAsia="宋体" w:cs="Times New Roman"/>
          <w:highlight w:val="green"/>
        </w:rPr>
      </w:pPr>
      <w:r>
        <w:rPr>
          <w:rFonts w:hint="eastAsia" w:eastAsia="宋体" w:cs="Times New Roman"/>
          <w:highlight w:val="yellow"/>
        </w:rPr>
        <w:t>4.2招标人银行账户信息如下：</w:t>
      </w:r>
      <w:r>
        <w:rPr>
          <w:rFonts w:hint="eastAsia" w:eastAsia="宋体" w:cs="宋体"/>
        </w:rPr>
        <w:t>见《投标须知前附表》4.2</w:t>
      </w:r>
    </w:p>
    <w:p>
      <w:pPr>
        <w:pStyle w:val="115"/>
        <w:ind w:firstLine="480"/>
        <w:rPr>
          <w:rFonts w:eastAsia="宋体" w:cs="Times New Roman"/>
        </w:rPr>
      </w:pPr>
      <w:r>
        <w:rPr>
          <w:rFonts w:hint="eastAsia" w:eastAsia="宋体" w:cs="Times New Roman"/>
        </w:rPr>
        <w:t>转账附言：公司名称+项目名称+投标保证金；</w:t>
      </w:r>
    </w:p>
    <w:p>
      <w:pPr>
        <w:pStyle w:val="115"/>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pPr>
        <w:pStyle w:val="115"/>
        <w:ind w:firstLine="480"/>
        <w:rPr>
          <w:rFonts w:eastAsia="宋体" w:cs="Times New Roman"/>
        </w:rPr>
      </w:pPr>
      <w:r>
        <w:rPr>
          <w:rFonts w:hint="eastAsia" w:eastAsia="宋体" w:cs="Times New Roman"/>
        </w:rPr>
        <w:t>4.3说明</w:t>
      </w:r>
    </w:p>
    <w:p>
      <w:pPr>
        <w:pStyle w:val="115"/>
        <w:ind w:firstLine="480"/>
        <w:rPr>
          <w:rFonts w:eastAsia="宋体" w:cs="Times New Roman"/>
        </w:rPr>
      </w:pPr>
      <w:r>
        <w:rPr>
          <w:rFonts w:hint="eastAsia" w:eastAsia="宋体" w:cs="Times New Roman"/>
        </w:rPr>
        <w:t>4.3.1 投标人在向招标人出示《投标保证金缴纳凭证》后方可进行投标；</w:t>
      </w:r>
    </w:p>
    <w:p>
      <w:pPr>
        <w:pStyle w:val="115"/>
        <w:ind w:firstLine="480"/>
        <w:rPr>
          <w:rFonts w:eastAsia="宋体" w:cs="Times New Roman"/>
        </w:rPr>
      </w:pPr>
      <w:r>
        <w:rPr>
          <w:rFonts w:hint="eastAsia" w:eastAsia="宋体" w:cs="Times New Roman"/>
        </w:rPr>
        <w:t>4.3.2 发生以下情况时，招标人有权没收保证金：</w:t>
      </w:r>
    </w:p>
    <w:p>
      <w:pPr>
        <w:pStyle w:val="115"/>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5"/>
        <w:ind w:firstLine="480"/>
        <w:rPr>
          <w:rFonts w:eastAsia="宋体" w:cs="Times New Roman"/>
        </w:rPr>
      </w:pPr>
      <w:r>
        <w:rPr>
          <w:rFonts w:hint="eastAsia" w:eastAsia="宋体" w:cs="Times New Roman"/>
        </w:rPr>
        <w:t>4.3.2.2 投标人递送投标文件后，无正当理由放弃投标的；</w:t>
      </w:r>
    </w:p>
    <w:p>
      <w:pPr>
        <w:pStyle w:val="115"/>
        <w:ind w:firstLine="480"/>
        <w:rPr>
          <w:rFonts w:eastAsia="宋体" w:cs="Times New Roman"/>
        </w:rPr>
      </w:pPr>
      <w:r>
        <w:rPr>
          <w:rFonts w:hint="eastAsia" w:eastAsia="宋体" w:cs="Times New Roman"/>
        </w:rPr>
        <w:t>4.3.2.3若为视频开标，招标过程中澄清函等资料原件未按要求提交的；</w:t>
      </w:r>
    </w:p>
    <w:p>
      <w:pPr>
        <w:pStyle w:val="115"/>
        <w:ind w:firstLine="480"/>
        <w:rPr>
          <w:rFonts w:eastAsia="宋体" w:cs="Times New Roman"/>
        </w:rPr>
      </w:pPr>
      <w:r>
        <w:rPr>
          <w:rFonts w:hint="eastAsia" w:eastAsia="宋体" w:cs="Times New Roman"/>
        </w:rPr>
        <w:t>4.3.2.4自中标通知书发出之日起30日内，中标人无正当理由不签订合同的；</w:t>
      </w:r>
    </w:p>
    <w:p>
      <w:pPr>
        <w:pStyle w:val="115"/>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5"/>
        <w:ind w:firstLine="480"/>
        <w:rPr>
          <w:rFonts w:eastAsia="宋体" w:cs="Times New Roman"/>
        </w:rPr>
      </w:pPr>
      <w:r>
        <w:rPr>
          <w:rFonts w:hint="eastAsia" w:eastAsia="宋体" w:cs="Times New Roman"/>
        </w:rPr>
        <w:t>4.4投标报名截止时间</w:t>
      </w:r>
    </w:p>
    <w:p>
      <w:pPr>
        <w:pStyle w:val="115"/>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5"/>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none"/>
        </w:rPr>
        <w:t>用公司名称+文件名称命名</w:t>
      </w:r>
      <w:r>
        <w:rPr>
          <w:rFonts w:hint="eastAsia" w:eastAsia="宋体" w:cs="Times New Roman"/>
        </w:rPr>
        <w:t>。</w:t>
      </w:r>
    </w:p>
    <w:p>
      <w:pPr>
        <w:numPr>
          <w:ilvl w:val="0"/>
          <w:numId w:val="9"/>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要提交三证合一的营业执照副本、法人授权委托书（含法人及授权人身份信息证明、授权代表联系方式）。</w:t>
      </w:r>
    </w:p>
    <w:p>
      <w:pPr>
        <w:numPr>
          <w:ilvl w:val="0"/>
          <w:numId w:val="9"/>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，要提交三证合一的营业执照副本、法人代表证明文件。</w:t>
      </w:r>
    </w:p>
    <w:p>
      <w:pPr>
        <w:numPr>
          <w:ilvl w:val="0"/>
          <w:numId w:val="9"/>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keepNext/>
        <w:keepLines/>
        <w:spacing w:line="420" w:lineRule="exact"/>
        <w:ind w:firstLine="480" w:firstLineChars="200"/>
        <w:rPr>
          <w:rFonts w:hint="eastAsia" w:ascii="宋体" w:hAnsi="宋体" w:eastAsia="宋体" w:cs="Times New Roman"/>
          <w:color w:val="000000"/>
          <w:sz w:val="24"/>
          <w:szCs w:val="24"/>
          <w:highlight w:val="yellow"/>
          <w:lang w:val="en-US" w:eastAsia="zh-CN"/>
        </w:rPr>
      </w:pPr>
      <w:bookmarkStart w:id="5" w:name="_Toc33266914"/>
      <w:bookmarkStart w:id="6" w:name="_Toc33285487"/>
      <w:bookmarkStart w:id="7" w:name="_Toc33266950"/>
      <w:bookmarkStart w:id="8" w:name="_Toc33265653"/>
      <w:bookmarkStart w:id="9" w:name="_Toc33266627"/>
      <w:bookmarkStart w:id="10" w:name="_Toc33267001"/>
      <w:bookmarkStart w:id="11" w:name="_Toc33265752"/>
      <w:r>
        <w:rPr>
          <w:rFonts w:hint="eastAsia" w:ascii="宋体" w:hAnsi="宋体" w:eastAsia="宋体" w:cs="Times New Roman"/>
          <w:color w:val="000000"/>
          <w:sz w:val="24"/>
          <w:szCs w:val="24"/>
          <w:highlight w:val="yellow"/>
          <w:lang w:val="en-US" w:eastAsia="zh-CN"/>
        </w:rPr>
        <w:t>暂定线下开标。</w:t>
      </w:r>
    </w:p>
    <w:p>
      <w:pPr>
        <w:keepNext/>
        <w:keepLines/>
        <w:spacing w:line="420" w:lineRule="exact"/>
        <w:jc w:val="lef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5"/>
      <w:bookmarkEnd w:id="6"/>
      <w:bookmarkEnd w:id="7"/>
      <w:bookmarkEnd w:id="8"/>
      <w:bookmarkEnd w:id="9"/>
      <w:bookmarkEnd w:id="10"/>
      <w:bookmarkEnd w:id="11"/>
      <w:bookmarkStart w:id="12" w:name="_Toc395116633"/>
    </w:p>
    <w:bookmarkEnd w:id="12"/>
    <w:p>
      <w:pPr>
        <w:spacing w:line="420" w:lineRule="exact"/>
        <w:ind w:firstLine="482" w:firstLineChars="200"/>
        <w:outlineLvl w:val="2"/>
        <w:rPr>
          <w:rFonts w:hint="eastAsia" w:ascii="宋体" w:hAnsi="宋体" w:eastAsia="宋体" w:cs="宋体"/>
          <w:b/>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bookmarkStart w:id="13" w:name="_Toc33285489"/>
      <w:bookmarkStart w:id="14" w:name="_Toc33266915"/>
      <w:bookmarkStart w:id="15" w:name="_Toc33266951"/>
      <w:bookmarkStart w:id="16" w:name="_Toc33265654"/>
      <w:bookmarkStart w:id="17" w:name="_Toc395116634"/>
      <w:bookmarkStart w:id="18" w:name="_Toc33265753"/>
      <w:bookmarkStart w:id="19" w:name="_Toc33267002"/>
      <w:bookmarkStart w:id="20" w:name="_Toc33266628"/>
    </w:p>
    <w:p>
      <w:pPr>
        <w:bidi w:val="0"/>
        <w:ind w:firstLine="420" w:firstLineChars="0"/>
        <w:rPr>
          <w:rFonts w:hint="eastAsia"/>
          <w:b/>
          <w:bCs/>
        </w:rPr>
      </w:pPr>
      <w:r>
        <w:rPr>
          <w:rFonts w:hint="eastAsia"/>
          <w:b/>
          <w:bCs/>
        </w:rPr>
        <w:t>评标模式：综合评标法，得分=技术标×30%+商务标×70%。</w:t>
      </w:r>
    </w:p>
    <w:p>
      <w:pPr>
        <w:bidi w:val="0"/>
        <w:ind w:firstLine="420" w:firstLineChars="0"/>
        <w:rPr>
          <w:rFonts w:hint="eastAsia"/>
          <w:b/>
          <w:bCs/>
        </w:rPr>
      </w:pPr>
      <w:r>
        <w:rPr>
          <w:rFonts w:hint="eastAsia"/>
          <w:b/>
          <w:bCs/>
          <w:lang w:val="en-US" w:eastAsia="zh-CN"/>
        </w:rPr>
        <w:t>商务标：商务标得分=当前轮次最低价/供方投标价×商务标总分。</w:t>
      </w:r>
    </w:p>
    <w:tbl>
      <w:tblPr>
        <w:tblStyle w:val="39"/>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1769"/>
        <w:gridCol w:w="1162"/>
        <w:gridCol w:w="4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评价类型</w:t>
            </w:r>
          </w:p>
        </w:tc>
        <w:tc>
          <w:tcPr>
            <w:tcW w:w="750" w:type="dxa"/>
            <w:vAlign w:val="center"/>
          </w:tcPr>
          <w:p>
            <w:pPr>
              <w:tabs>
                <w:tab w:val="left" w:pos="13965"/>
              </w:tabs>
              <w:spacing w:line="360" w:lineRule="auto"/>
              <w:ind w:right="-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评审内容</w:t>
            </w:r>
          </w:p>
        </w:tc>
        <w:tc>
          <w:tcPr>
            <w:tcW w:w="533"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序号</w:t>
            </w:r>
          </w:p>
        </w:tc>
        <w:tc>
          <w:tcPr>
            <w:tcW w:w="1769"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内</w:t>
            </w:r>
            <w:r>
              <w:rPr>
                <w:rFonts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1162"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标准分</w:t>
            </w:r>
          </w:p>
        </w:tc>
        <w:tc>
          <w:tcPr>
            <w:tcW w:w="4129"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w:t>
            </w:r>
          </w:p>
          <w:p>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10</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分</w:t>
            </w:r>
          </w:p>
        </w:tc>
        <w:tc>
          <w:tcPr>
            <w:tcW w:w="750" w:type="dxa"/>
            <w:vAlign w:val="center"/>
          </w:tcPr>
          <w:p>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533" w:type="dxa"/>
            <w:vAlign w:val="center"/>
          </w:tcPr>
          <w:p>
            <w:pPr>
              <w:tabs>
                <w:tab w:val="left" w:pos="13965"/>
              </w:tabs>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1769"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1162" w:type="dxa"/>
            <w:vAlign w:val="center"/>
          </w:tcPr>
          <w:p>
            <w:pPr>
              <w:tabs>
                <w:tab w:val="left" w:pos="13965"/>
              </w:tabs>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6</w:t>
            </w:r>
          </w:p>
        </w:tc>
        <w:tc>
          <w:tcPr>
            <w:tcW w:w="4129" w:type="dxa"/>
            <w:vAlign w:val="center"/>
          </w:tcPr>
          <w:p>
            <w:pPr>
              <w:spacing w:line="240" w:lineRule="auto"/>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分（时间以签订日期为准）。</w:t>
            </w:r>
          </w:p>
          <w:p>
            <w:pPr>
              <w:spacing w:line="240" w:lineRule="auto"/>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2</w:t>
            </w:r>
          </w:p>
        </w:tc>
        <w:tc>
          <w:tcPr>
            <w:tcW w:w="1769"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1162"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6</w:t>
            </w:r>
          </w:p>
        </w:tc>
        <w:tc>
          <w:tcPr>
            <w:tcW w:w="4129"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Times New Roman"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3</w:t>
            </w:r>
          </w:p>
        </w:tc>
        <w:tc>
          <w:tcPr>
            <w:tcW w:w="1769" w:type="dxa"/>
            <w:vAlign w:val="center"/>
          </w:tcPr>
          <w:p>
            <w:pPr>
              <w:spacing w:line="240" w:lineRule="auto"/>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1162" w:type="dxa"/>
            <w:vAlign w:val="center"/>
          </w:tcPr>
          <w:p>
            <w:pPr>
              <w:spacing w:line="240" w:lineRule="auto"/>
              <w:jc w:val="center"/>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50</w:t>
            </w:r>
          </w:p>
        </w:tc>
        <w:tc>
          <w:tcPr>
            <w:tcW w:w="4129" w:type="dxa"/>
            <w:vAlign w:val="center"/>
          </w:tcPr>
          <w:p>
            <w:pPr>
              <w:spacing w:line="24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ascii="宋体" w:hAnsi="宋体" w:eastAsia="宋体" w:cs="Times New Roman"/>
                <w:sz w:val="24"/>
                <w:szCs w:val="24"/>
                <w:highlight w:val="none"/>
              </w:rPr>
              <w:t xml:space="preserve"> </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①</w:t>
            </w:r>
            <w:r>
              <w:rPr>
                <w:rFonts w:hint="eastAsia" w:ascii="宋体" w:hAnsi="宋体" w:eastAsia="宋体" w:cs="Times New Roman"/>
                <w:bCs/>
                <w:sz w:val="24"/>
                <w:szCs w:val="24"/>
                <w:highlight w:val="none"/>
              </w:rPr>
              <w:t>定制系统方案已到达招标要求，设备主要核心部件，具备自身技术优势，打分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16</w:t>
            </w:r>
            <w:r>
              <w:rPr>
                <w:rFonts w:hint="eastAsia" w:ascii="宋体" w:hAnsi="宋体" w:eastAsia="宋体" w:cs="Times New Roman"/>
                <w:bCs/>
                <w:sz w:val="24"/>
                <w:szCs w:val="24"/>
                <w:highlight w:val="none"/>
              </w:rPr>
              <w:t>分。</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②</w:t>
            </w:r>
            <w:r>
              <w:rPr>
                <w:rFonts w:hint="eastAsia" w:ascii="宋体" w:hAnsi="宋体" w:eastAsia="宋体" w:cs="Times New Roman"/>
                <w:bCs/>
                <w:sz w:val="24"/>
                <w:szCs w:val="24"/>
                <w:highlight w:val="none"/>
              </w:rPr>
              <w:t>系统配置齐全，其精度、参数、技术水平、可靠性等优势明显，打分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16</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③</w:t>
            </w:r>
            <w:r>
              <w:rPr>
                <w:rFonts w:hint="eastAsia" w:ascii="宋体" w:hAnsi="宋体" w:eastAsia="宋体" w:cs="Times New Roman"/>
                <w:sz w:val="24"/>
                <w:szCs w:val="24"/>
                <w:highlight w:val="none"/>
              </w:rPr>
              <w:t>操作灵活方便，系统开放程度高，</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10</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0"/>
              </w:numPr>
              <w:spacing w:line="240" w:lineRule="auto"/>
              <w:ind w:leftChars="0"/>
              <w:rPr>
                <w:rFonts w:hint="eastAsia" w:ascii="宋体" w:hAnsi="Times New Roman"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④</w:t>
            </w:r>
            <w:r>
              <w:rPr>
                <w:rFonts w:hint="eastAsia" w:ascii="宋体" w:hAnsi="宋体" w:eastAsia="宋体" w:cs="Times New Roman"/>
                <w:sz w:val="24"/>
                <w:szCs w:val="24"/>
                <w:highlight w:val="none"/>
              </w:rPr>
              <w:t>综合评价，</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533"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1769"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1162"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8</w:t>
            </w:r>
          </w:p>
        </w:tc>
        <w:tc>
          <w:tcPr>
            <w:tcW w:w="4129"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w:t>
            </w: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5</w:t>
            </w:r>
          </w:p>
        </w:tc>
        <w:tc>
          <w:tcPr>
            <w:tcW w:w="1769"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1162" w:type="dxa"/>
            <w:vAlign w:val="center"/>
          </w:tcPr>
          <w:p>
            <w:pPr>
              <w:spacing w:line="240" w:lineRule="auto"/>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w:t>
            </w:r>
          </w:p>
        </w:tc>
        <w:tc>
          <w:tcPr>
            <w:tcW w:w="4129" w:type="dxa"/>
            <w:vAlign w:val="center"/>
          </w:tcPr>
          <w:p>
            <w:pPr>
              <w:spacing w:line="240" w:lineRule="auto"/>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w:t>
            </w:r>
            <w:r>
              <w:rPr>
                <w:rFonts w:hint="eastAsia" w:ascii="宋体" w:hAnsi="宋体" w:eastAsia="宋体" w:cs="Times New Roman"/>
                <w:bCs/>
                <w:sz w:val="24"/>
                <w:szCs w:val="24"/>
                <w:highlight w:val="none"/>
                <w:lang w:eastAsia="zh-CN"/>
              </w:rPr>
              <w:t>投标人</w:t>
            </w:r>
            <w:r>
              <w:rPr>
                <w:rFonts w:hint="eastAsia" w:ascii="宋体" w:hAnsi="宋体" w:eastAsia="宋体" w:cs="Times New Roman"/>
                <w:bCs/>
                <w:sz w:val="24"/>
                <w:szCs w:val="24"/>
                <w:highlight w:val="none"/>
              </w:rPr>
              <w:t>的核心产品的配置参数、技术偏离情况，在满足我司技术基本要求的前提下偏离，无偏离得满分</w:t>
            </w:r>
            <w:r>
              <w:rPr>
                <w:rFonts w:hint="eastAsia" w:ascii="宋体" w:hAnsi="宋体" w:eastAsia="宋体" w:cs="Times New Roman"/>
                <w:bCs/>
                <w:sz w:val="24"/>
                <w:szCs w:val="24"/>
                <w:highlight w:val="none"/>
                <w:lang w:val="en-US" w:eastAsia="zh-CN"/>
              </w:rPr>
              <w:t>12</w:t>
            </w:r>
            <w:r>
              <w:rPr>
                <w:rFonts w:hint="eastAsia" w:ascii="宋体" w:hAnsi="宋体" w:eastAsia="宋体" w:cs="Times New Roman"/>
                <w:bCs/>
                <w:sz w:val="24"/>
                <w:szCs w:val="24"/>
                <w:highlight w:val="none"/>
              </w:rPr>
              <w:t>分，较大偏离每一项扣</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分，一般偏离每一项扣</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6</w:t>
            </w:r>
          </w:p>
        </w:tc>
        <w:tc>
          <w:tcPr>
            <w:tcW w:w="1769"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技术培训方案：对采购方人员的技术培训方案安排科学、合理、可行</w:t>
            </w:r>
          </w:p>
        </w:tc>
        <w:tc>
          <w:tcPr>
            <w:tcW w:w="1162"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6</w:t>
            </w:r>
          </w:p>
        </w:tc>
        <w:tc>
          <w:tcPr>
            <w:tcW w:w="4129"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7</w:t>
            </w:r>
          </w:p>
        </w:tc>
        <w:tc>
          <w:tcPr>
            <w:tcW w:w="1769" w:type="dxa"/>
            <w:shd w:val="clear" w:color="auto" w:fill="auto"/>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投标人在中国有常驻的专业技术力量的维保机构并具有实施本项目维保的专业技术人员：</w:t>
            </w:r>
          </w:p>
        </w:tc>
        <w:tc>
          <w:tcPr>
            <w:tcW w:w="1162" w:type="dxa"/>
            <w:shd w:val="clear" w:color="auto" w:fill="auto"/>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bCs/>
                <w:sz w:val="24"/>
                <w:szCs w:val="24"/>
                <w:highlight w:val="none"/>
                <w:lang w:val="en-US" w:eastAsia="zh-CN"/>
              </w:rPr>
              <w:t>6</w:t>
            </w:r>
          </w:p>
        </w:tc>
        <w:tc>
          <w:tcPr>
            <w:tcW w:w="4129" w:type="dxa"/>
            <w:shd w:val="clear" w:color="auto" w:fill="auto"/>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8</w:t>
            </w:r>
          </w:p>
        </w:tc>
        <w:tc>
          <w:tcPr>
            <w:tcW w:w="1769"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售后服务及时周到，有相应的服务承诺和具体的保证措施</w:t>
            </w:r>
          </w:p>
        </w:tc>
        <w:tc>
          <w:tcPr>
            <w:tcW w:w="1162"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6</w:t>
            </w:r>
          </w:p>
        </w:tc>
        <w:tc>
          <w:tcPr>
            <w:tcW w:w="4129"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bl>
    <w:p>
      <w:pPr>
        <w:bidi w:val="0"/>
      </w:pPr>
    </w:p>
    <w:bookmarkEnd w:id="13"/>
    <w:bookmarkEnd w:id="14"/>
    <w:bookmarkEnd w:id="15"/>
    <w:bookmarkEnd w:id="16"/>
    <w:bookmarkEnd w:id="17"/>
    <w:bookmarkEnd w:id="18"/>
    <w:bookmarkEnd w:id="19"/>
    <w:bookmarkEnd w:id="20"/>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20"/>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10"/>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11"/>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12"/>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pPr>
        <w:numPr>
          <w:ilvl w:val="0"/>
          <w:numId w:val="12"/>
        </w:numPr>
        <w:spacing w:line="420" w:lineRule="exact"/>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pPr>
        <w:numPr>
          <w:ilvl w:val="0"/>
          <w:numId w:val="13"/>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bidi w:val="0"/>
        <w:ind w:firstLine="420" w:firstLineChars="0"/>
      </w:pPr>
      <w:r>
        <w:rPr>
          <w:rFonts w:hint="eastAsia" w:ascii="宋体" w:hAnsi="宋体" w:eastAsia="宋体" w:cs="Times New Roman"/>
          <w:b/>
          <w:sz w:val="24"/>
          <w:szCs w:val="24"/>
        </w:rPr>
        <w:t xml:space="preserve">注意：投标人均需自带笔记本电脑在重汽e采通平台自主进行投标和提交澄清函；投标和提交澄清函均有时间限制，超时未提交的按无效处理。 </w:t>
      </w:r>
      <w:r>
        <w:rPr>
          <w:rFonts w:hint="eastAsia"/>
        </w:rPr>
        <w:t xml:space="preserve"> </w:t>
      </w:r>
    </w:p>
    <w:p>
      <w:pPr>
        <w:numPr>
          <w:ilvl w:val="0"/>
          <w:numId w:val="13"/>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0"/>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1" w:name="OLE_LINK29"/>
      <w:bookmarkStart w:id="22" w:name="OLE_LINK25"/>
      <w:bookmarkStart w:id="23" w:name="OLE_LINK28"/>
      <w:bookmarkStart w:id="24" w:name="OLE_LINK26"/>
      <w:bookmarkStart w:id="25" w:name="OLE_LINK27"/>
      <w:r>
        <w:rPr>
          <w:rFonts w:hint="eastAsia" w:ascii="宋体" w:hAnsi="Courier New" w:eastAsia="宋体" w:cs="Times New Roman"/>
          <w:bCs/>
          <w:sz w:val="24"/>
          <w:szCs w:val="24"/>
        </w:rPr>
        <w:t>；</w:t>
      </w:r>
      <w:bookmarkEnd w:id="21"/>
      <w:bookmarkEnd w:id="22"/>
      <w:bookmarkEnd w:id="23"/>
      <w:bookmarkEnd w:id="24"/>
      <w:bookmarkEnd w:id="25"/>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6" w:name="_Toc22879"/>
      <w:r>
        <w:rPr>
          <w:rFonts w:hint="eastAsia" w:ascii="Calibri" w:hAnsi="Calibri" w:eastAsia="宋体" w:cs="Times New Roman"/>
          <w:b/>
          <w:bCs/>
          <w:kern w:val="44"/>
          <w:sz w:val="36"/>
          <w:szCs w:val="44"/>
        </w:rPr>
        <w:t>第三部分 投标文件编制</w:t>
      </w:r>
      <w:bookmarkEnd w:id="26"/>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bookmarkStart w:id="27" w:name="_Toc212369515"/>
      <w:r>
        <w:rPr>
          <w:rFonts w:hint="eastAsia" w:ascii="宋体" w:hAnsi="宋体" w:eastAsia="宋体" w:cs="Times New Roman"/>
          <w:color w:val="000000"/>
          <w:sz w:val="24"/>
          <w:szCs w:val="24"/>
        </w:rPr>
        <w:t>1.1营业执照副本复印件（需加盖公章）；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1.2投标函（附件1）；</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1.4近三年经第三方机构审计的财务报表（报告页、资产负债表、损益表、现金流量表）复印件（需加盖公章），必须连续，同时填写投标人基本情况表（附件3）；</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1.5近三年内在经营活动中无与本项目有关的违法及重大违规行为的声明；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1.7企业对外担保说明（写明贵单位对外有无对外担保和质押业务，需加盖公章）；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1.8企业信用证明材料（征信中心出具的信用报告）；</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1.9代理商投标要携带生产商的授权书、原厂售后服务承诺书，根据实际情况提供即可，无格式限制（包括所代理品牌的针对本项目的唯一授权书）；</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1.10企业最近半年的完税证明，并附年度纳税信用评价信息（可从电子税务局查询截图，需加盖公章）；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1.11保密承诺函（附件4）；</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1.12 2022年1月1日至今，企业近三年同类项目业绩证明，须提供用户清单、采购合同复印件；</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1.13投标保证金缴纳凭证，同时正文描述付款账号、户名、开户行名称、开户行行号、保证金金额。</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7"/>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28" w:name="_Toc536542319"/>
      <w:r>
        <w:rPr>
          <w:rFonts w:hint="eastAsia" w:ascii="宋体" w:hAnsi="宋体" w:eastAsia="宋体" w:cs="Times New Roman"/>
          <w:color w:val="000000"/>
          <w:sz w:val="24"/>
          <w:szCs w:val="24"/>
        </w:rPr>
        <w:t>2.6投标产品技术支持材料</w:t>
      </w:r>
      <w:bookmarkEnd w:id="28"/>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9" w:name="OLE_LINK19"/>
      <w:bookmarkStart w:id="30" w:name="OLE_LINK18"/>
      <w:r>
        <w:rPr>
          <w:rFonts w:hint="eastAsia" w:ascii="宋体" w:hAnsi="宋体" w:eastAsia="宋体" w:cs="Times New Roman"/>
          <w:b/>
          <w:color w:val="000000"/>
          <w:sz w:val="24"/>
          <w:szCs w:val="24"/>
        </w:rPr>
        <w:t>；</w:t>
      </w:r>
      <w:bookmarkEnd w:id="29"/>
      <w:bookmarkEnd w:id="30"/>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Times New Roman" w:hAnsi="Times New Roman" w:eastAsia="宋体" w:cs="Times New Roman"/>
          <w:b/>
          <w:bCs/>
          <w:kern w:val="44"/>
          <w:sz w:val="36"/>
          <w:szCs w:val="44"/>
        </w:rPr>
      </w:pPr>
      <w:r>
        <w:rPr>
          <w:rFonts w:hint="eastAsia" w:ascii="Times New Roman" w:hAnsi="Times New Roman" w:eastAsia="宋体" w:cs="Times New Roman"/>
          <w:b/>
          <w:bCs/>
          <w:kern w:val="44"/>
          <w:sz w:val="36"/>
          <w:szCs w:val="44"/>
        </w:rPr>
        <w:t>第四部分 技术标书</w:t>
      </w:r>
      <w:bookmarkEnd w:id="0"/>
    </w:p>
    <w:p>
      <w:pPr>
        <w:pStyle w:val="20"/>
        <w:rPr>
          <w:rFonts w:ascii="Times New Roman" w:hAnsi="Times New Roman"/>
        </w:rPr>
      </w:pPr>
    </w:p>
    <w:p>
      <w:pPr>
        <w:keepNext/>
        <w:keepLines/>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rPr>
        <w:t>中国重汽集团济南动力有限公司</w:t>
      </w:r>
    </w:p>
    <w:p>
      <w:pPr>
        <w:spacing w:line="276" w:lineRule="auto"/>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rPr>
        <w:t>桌面HIL台架</w:t>
      </w:r>
      <w:r>
        <w:rPr>
          <w:rFonts w:hint="eastAsia" w:ascii="Times New Roman" w:hAnsi="Times New Roman" w:eastAsia="宋体" w:cs="Times New Roman"/>
          <w:b/>
          <w:bCs/>
          <w:spacing w:val="-8"/>
          <w:sz w:val="48"/>
          <w:szCs w:val="44"/>
          <w:lang w:val="en-US" w:eastAsia="zh-CN"/>
        </w:rPr>
        <w:t>招标</w:t>
      </w:r>
      <w:r>
        <w:rPr>
          <w:rFonts w:hint="eastAsia" w:ascii="Times New Roman" w:hAnsi="Times New Roman" w:eastAsia="宋体" w:cs="Times New Roman"/>
          <w:b/>
          <w:bCs/>
          <w:spacing w:val="-8"/>
          <w:sz w:val="48"/>
          <w:szCs w:val="44"/>
        </w:rPr>
        <w:t>项目</w:t>
      </w:r>
    </w:p>
    <w:p>
      <w:pPr>
        <w:jc w:val="right"/>
        <w:rPr>
          <w:rFonts w:ascii="Times New Roman" w:hAnsi="Times New Roman" w:eastAsia="宋体" w:cs="Times New Roman"/>
          <w:color w:val="000000"/>
          <w:sz w:val="28"/>
          <w:szCs w:val="28"/>
        </w:rPr>
      </w:pPr>
    </w:p>
    <w:p>
      <w:pPr>
        <w:pStyle w:val="20"/>
        <w:rPr>
          <w:rFonts w:ascii="Times New Roman" w:hAnsi="Times New Roman"/>
        </w:rPr>
      </w:pPr>
    </w:p>
    <w:p>
      <w:pPr>
        <w:jc w:val="center"/>
        <w:rPr>
          <w:rFonts w:hint="eastAsia" w:ascii="Times New Roman" w:hAnsi="Times New Roman" w:eastAsia="黑体" w:cs="Times New Roman"/>
          <w:color w:val="000000"/>
          <w:sz w:val="72"/>
          <w:szCs w:val="72"/>
        </w:rPr>
      </w:pPr>
    </w:p>
    <w:p>
      <w:pPr>
        <w:jc w:val="center"/>
        <w:rPr>
          <w:rFonts w:hint="eastAsia" w:ascii="Times New Roman" w:hAnsi="Times New Roman" w:eastAsia="黑体" w:cs="Times New Roman"/>
          <w:color w:val="000000"/>
          <w:sz w:val="72"/>
          <w:szCs w:val="72"/>
        </w:rPr>
      </w:pP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技</w:t>
      </w: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术</w:t>
      </w: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标</w:t>
      </w: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书</w:t>
      </w:r>
    </w:p>
    <w:p>
      <w:pPr>
        <w:pStyle w:val="20"/>
        <w:rPr>
          <w:rFonts w:ascii="Times New Roman" w:hAnsi="Times New Roman" w:eastAsia="黑体" w:cs="Times New Roman"/>
          <w:color w:val="000000"/>
          <w:sz w:val="72"/>
          <w:szCs w:val="72"/>
        </w:rPr>
      </w:pPr>
    </w:p>
    <w:p>
      <w:pPr>
        <w:spacing w:line="860" w:lineRule="exact"/>
        <w:rPr>
          <w:rFonts w:hint="eastAsia" w:ascii="Times New Roman" w:hAnsi="Times New Roman" w:eastAsia="华文仿宋"/>
          <w:sz w:val="32"/>
          <w:szCs w:val="28"/>
        </w:rPr>
      </w:pPr>
      <w:r>
        <w:rPr>
          <w:rFonts w:hint="eastAsia" w:ascii="Times New Roman" w:hAnsi="Times New Roman" w:eastAsia="华文仿宋"/>
          <w:sz w:val="32"/>
          <w:szCs w:val="28"/>
        </w:rPr>
        <w:t xml:space="preserve">                </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jc w:val="both"/>
        <w:rPr>
          <w:rFonts w:ascii="Times New Roman" w:hAnsi="Times New Roman" w:eastAsia="宋体" w:cs="Times New Roman"/>
          <w:color w:val="000000"/>
          <w:sz w:val="28"/>
          <w:szCs w:val="28"/>
        </w:rPr>
      </w:pPr>
    </w:p>
    <w:p>
      <w:pPr>
        <w:jc w:val="center"/>
        <w:rPr>
          <w:rFonts w:ascii="Times New Roman" w:hAnsi="Times New Roman" w:eastAsia="宋体" w:cs="Times New Roman"/>
          <w:color w:val="000000"/>
          <w:sz w:val="28"/>
          <w:szCs w:val="28"/>
        </w:rPr>
      </w:pPr>
      <w:r>
        <w:rPr>
          <w:rFonts w:hint="eastAsia" w:ascii="Times New Roman" w:hAnsi="Times New Roman" w:eastAsia="宋体" w:cs="Times New Roman"/>
          <w:color w:val="000000"/>
          <w:sz w:val="28"/>
          <w:szCs w:val="28"/>
        </w:rPr>
        <w:t>招</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标</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人：中国重汽集团济南动力有限公司</w:t>
      </w:r>
    </w:p>
    <w:p>
      <w:pPr>
        <w:jc w:val="center"/>
        <w:rPr>
          <w:rFonts w:ascii="Times New Roman" w:hAnsi="Times New Roman" w:eastAsia="宋体" w:cs="Times New Roman"/>
          <w:b/>
          <w:bCs/>
          <w:kern w:val="44"/>
          <w:sz w:val="36"/>
          <w:szCs w:val="44"/>
        </w:rPr>
      </w:pPr>
      <w:r>
        <w:rPr>
          <w:rFonts w:ascii="Times New Roman" w:hAnsi="Times New Roman" w:eastAsia="宋体" w:cs="Times New Roman"/>
          <w:color w:val="000000"/>
          <w:sz w:val="28"/>
          <w:szCs w:val="28"/>
        </w:rPr>
        <w:t>202</w:t>
      </w:r>
      <w:r>
        <w:rPr>
          <w:rFonts w:hint="eastAsia" w:ascii="Times New Roman" w:hAnsi="Times New Roman" w:eastAsia="宋体" w:cs="Times New Roman"/>
          <w:color w:val="000000"/>
          <w:sz w:val="28"/>
          <w:szCs w:val="28"/>
        </w:rPr>
        <w:t>5年</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lang w:val="en-US" w:eastAsia="zh-CN"/>
        </w:rPr>
        <w:t>9</w:t>
      </w:r>
      <w:r>
        <w:rPr>
          <w:rFonts w:hint="eastAsia" w:ascii="Times New Roman" w:hAnsi="Times New Roman" w:eastAsia="宋体" w:cs="Times New Roman"/>
          <w:color w:val="000000"/>
          <w:sz w:val="28"/>
          <w:szCs w:val="28"/>
        </w:rPr>
        <w:t>月</w:t>
      </w:r>
    </w:p>
    <w:p>
      <w:pPr>
        <w:spacing w:line="360" w:lineRule="auto"/>
        <w:rPr>
          <w:rFonts w:ascii="Times New Roman" w:hAnsi="Times New Roman"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第一章</w:t>
      </w:r>
      <w:r>
        <w:rPr>
          <w:rFonts w:ascii="Times New Roman" w:hAnsi="Times New Roman" w:eastAsia="宋体" w:cs="Times New Roman"/>
          <w:b/>
          <w:bCs/>
          <w:kern w:val="44"/>
          <w:sz w:val="28"/>
          <w:szCs w:val="28"/>
        </w:rPr>
        <w:t xml:space="preserve">  </w:t>
      </w:r>
      <w:r>
        <w:rPr>
          <w:rFonts w:hint="eastAsia" w:ascii="Times New Roman" w:hAnsi="Times New Roman" w:eastAsia="宋体" w:cs="Times New Roman"/>
          <w:b/>
          <w:bCs/>
          <w:kern w:val="44"/>
          <w:sz w:val="28"/>
          <w:szCs w:val="28"/>
        </w:rPr>
        <w:t>采购货物概况</w:t>
      </w:r>
    </w:p>
    <w:p>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第一节  使用环境</w:t>
      </w:r>
    </w:p>
    <w:p>
      <w:pPr>
        <w:spacing w:line="360" w:lineRule="auto"/>
        <w:outlineLvl w:val="3"/>
        <w:rPr>
          <w:rFonts w:ascii="Times New Roman" w:hAnsi="Times New Roman" w:eastAsia="宋体" w:cs="宋体"/>
          <w:sz w:val="24"/>
          <w:szCs w:val="24"/>
          <w:u w:val="single"/>
          <w:shd w:val="pct10" w:color="auto" w:fill="FFFFFF"/>
        </w:rPr>
      </w:pPr>
      <w:r>
        <w:rPr>
          <w:rFonts w:hint="eastAsia" w:ascii="Times New Roman" w:hAnsi="Times New Roman" w:eastAsia="宋体" w:cs="宋体"/>
          <w:sz w:val="24"/>
          <w:szCs w:val="24"/>
        </w:rPr>
        <w:t>一、项目名称：</w:t>
      </w:r>
      <w:r>
        <w:rPr>
          <w:rFonts w:hint="eastAsia" w:ascii="宋体" w:hAnsi="宋体" w:eastAsia="宋体" w:cs="宋体"/>
          <w:b w:val="0"/>
          <w:bCs w:val="0"/>
          <w:color w:val="000000"/>
          <w:sz w:val="24"/>
          <w:szCs w:val="24"/>
          <w:u w:val="single"/>
        </w:rPr>
        <w:t>中国重汽集团济南动力有限公司</w:t>
      </w:r>
      <w:r>
        <w:rPr>
          <w:rFonts w:hint="eastAsia" w:ascii="宋体" w:hAnsi="宋体" w:eastAsia="宋体" w:cs="宋体"/>
          <w:b w:val="0"/>
          <w:bCs w:val="0"/>
          <w:color w:val="000000"/>
          <w:sz w:val="24"/>
          <w:szCs w:val="24"/>
          <w:u w:val="single"/>
          <w:lang w:val="en-US" w:eastAsia="zh-CN"/>
        </w:rPr>
        <w:t>桌面HIL台架</w:t>
      </w:r>
      <w:r>
        <w:rPr>
          <w:rFonts w:hint="eastAsia" w:ascii="宋体" w:hAnsi="宋体" w:eastAsia="宋体" w:cs="宋体"/>
          <w:b w:val="0"/>
          <w:bCs w:val="0"/>
          <w:color w:val="000000"/>
          <w:sz w:val="24"/>
          <w:szCs w:val="24"/>
          <w:u w:val="single"/>
        </w:rPr>
        <w:t>招标项目</w:t>
      </w:r>
    </w:p>
    <w:p>
      <w:pPr>
        <w:spacing w:line="360" w:lineRule="auto"/>
        <w:outlineLvl w:val="3"/>
        <w:rPr>
          <w:rFonts w:ascii="Times New Roman" w:hAnsi="Times New Roman" w:eastAsia="宋体" w:cs="宋体"/>
          <w:sz w:val="24"/>
          <w:szCs w:val="24"/>
          <w:u w:val="single"/>
          <w:shd w:val="pct10" w:color="auto" w:fill="FFFFFF"/>
        </w:rPr>
      </w:pPr>
      <w:r>
        <w:rPr>
          <w:rFonts w:hint="eastAsia" w:ascii="Times New Roman" w:hAnsi="Times New Roman" w:eastAsia="宋体" w:cs="宋体"/>
          <w:sz w:val="24"/>
          <w:szCs w:val="24"/>
        </w:rPr>
        <w:t>二、建设地点：</w:t>
      </w:r>
      <w:r>
        <w:rPr>
          <w:rFonts w:hint="eastAsia" w:ascii="Times New Roman" w:hAnsi="Times New Roman" w:eastAsia="宋体" w:cs="宋体"/>
          <w:sz w:val="24"/>
          <w:szCs w:val="24"/>
          <w:u w:val="single"/>
        </w:rPr>
        <w:t>济南市高新区华奥路777号中国重汽科技大厦园区</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sz w:val="24"/>
          <w:szCs w:val="24"/>
        </w:rPr>
        <w:t>三、使用地点：</w:t>
      </w:r>
      <w:r>
        <w:rPr>
          <w:rFonts w:hint="eastAsia" w:ascii="Times New Roman" w:hAnsi="Times New Roman" w:eastAsia="宋体" w:cs="宋体"/>
          <w:sz w:val="24"/>
          <w:szCs w:val="24"/>
          <w:u w:val="single"/>
        </w:rPr>
        <w:t>济南市高新区华奥路777号中国重汽科技大厦园区</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sz w:val="24"/>
          <w:szCs w:val="24"/>
        </w:rPr>
        <w:t>四、工作制度：全年工作365天、一班制、设备年时基数</w:t>
      </w:r>
      <w:r>
        <w:rPr>
          <w:rFonts w:ascii="Times New Roman" w:hAnsi="Times New Roman" w:eastAsia="宋体" w:cs="宋体"/>
          <w:sz w:val="24"/>
          <w:szCs w:val="24"/>
        </w:rPr>
        <w:t>4380</w:t>
      </w:r>
      <w:r>
        <w:rPr>
          <w:rFonts w:hint="eastAsia" w:ascii="Times New Roman" w:hAnsi="Times New Roman" w:eastAsia="宋体" w:cs="宋体"/>
          <w:sz w:val="24"/>
          <w:szCs w:val="24"/>
        </w:rPr>
        <w:t>小时。</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sz w:val="24"/>
          <w:szCs w:val="24"/>
        </w:rPr>
        <w:t>五、使用地点区域自然环境：</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1.海拔高度：4000m以下。</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2.环境温度：室外极端最低温度-12℃、极端最高温度45℃。</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3.相对湿度：最大95%、最小15%。</w:t>
      </w:r>
    </w:p>
    <w:p>
      <w:pPr>
        <w:spacing w:line="360" w:lineRule="auto"/>
        <w:outlineLvl w:val="3"/>
        <w:rPr>
          <w:rFonts w:ascii="Times New Roman" w:hAnsi="Times New Roman" w:eastAsia="宋体" w:cs="宋体"/>
          <w:bCs/>
          <w:sz w:val="24"/>
          <w:szCs w:val="24"/>
        </w:rPr>
      </w:pPr>
      <w:r>
        <w:rPr>
          <w:rFonts w:hint="eastAsia" w:ascii="Times New Roman" w:hAnsi="Times New Roman" w:eastAsia="宋体" w:cs="宋体"/>
          <w:bCs/>
          <w:sz w:val="24"/>
          <w:szCs w:val="24"/>
        </w:rPr>
        <w:t>六、使用试验室环境条件：</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电力：中国制式，供电电压380V±15%/220V±15%，供电频率50Hz±2%；</w:t>
      </w:r>
    </w:p>
    <w:p>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第二节  采购货物概况</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一、货物名称：</w:t>
      </w:r>
      <w:r>
        <w:rPr>
          <w:rFonts w:hint="eastAsia" w:ascii="Times New Roman" w:hAnsi="Times New Roman" w:eastAsia="宋体" w:cs="宋体"/>
          <w:sz w:val="24"/>
          <w:szCs w:val="24"/>
          <w:u w:val="single"/>
        </w:rPr>
        <w:t>桌面HIL台架项目</w:t>
      </w:r>
      <w:r>
        <w:rPr>
          <w:rFonts w:hint="eastAsia" w:ascii="Times New Roman" w:hAnsi="Times New Roman" w:eastAsia="宋体" w:cs="宋体"/>
          <w:sz w:val="24"/>
          <w:szCs w:val="24"/>
        </w:rPr>
        <w:t>（详见下表）</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二、货物数量：</w:t>
      </w:r>
      <w:r>
        <w:rPr>
          <w:rFonts w:hint="eastAsia" w:ascii="Times New Roman" w:hAnsi="Times New Roman" w:eastAsia="宋体" w:cs="宋体"/>
          <w:bCs/>
          <w:sz w:val="24"/>
          <w:szCs w:val="24"/>
          <w:u w:val="single"/>
        </w:rPr>
        <w:t>6套</w:t>
      </w:r>
      <w:r>
        <w:rPr>
          <w:rFonts w:hint="eastAsia" w:ascii="Times New Roman" w:hAnsi="Times New Roman" w:eastAsia="宋体" w:cs="宋体"/>
          <w:sz w:val="24"/>
          <w:szCs w:val="24"/>
        </w:rPr>
        <w:t>（详见下表）</w:t>
      </w:r>
    </w:p>
    <w:p>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三、分投分中：不允许</w:t>
      </w:r>
    </w:p>
    <w:p>
      <w:pPr>
        <w:spacing w:line="360" w:lineRule="auto"/>
        <w:jc w:val="center"/>
        <w:rPr>
          <w:rFonts w:ascii="Times New Roman" w:hAnsi="Times New Roman" w:eastAsia="宋体" w:cs="宋体"/>
          <w:b/>
          <w:bCs/>
          <w:sz w:val="24"/>
          <w:szCs w:val="24"/>
        </w:rPr>
      </w:pPr>
      <w:r>
        <w:rPr>
          <w:rFonts w:hint="eastAsia" w:ascii="Times New Roman" w:hAnsi="Times New Roman" w:eastAsia="宋体" w:cs="宋体"/>
          <w:b/>
          <w:bCs/>
          <w:sz w:val="24"/>
          <w:szCs w:val="24"/>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序号</w:t>
            </w:r>
          </w:p>
        </w:tc>
        <w:tc>
          <w:tcPr>
            <w:tcW w:w="2919"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名称</w:t>
            </w:r>
          </w:p>
        </w:tc>
        <w:tc>
          <w:tcPr>
            <w:tcW w:w="2559"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型号规格</w:t>
            </w:r>
          </w:p>
        </w:tc>
        <w:tc>
          <w:tcPr>
            <w:tcW w:w="1513"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单位</w:t>
            </w:r>
          </w:p>
        </w:tc>
        <w:tc>
          <w:tcPr>
            <w:tcW w:w="1105"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1</w:t>
            </w:r>
          </w:p>
        </w:tc>
        <w:tc>
          <w:tcPr>
            <w:tcW w:w="2919" w:type="dxa"/>
            <w:vAlign w:val="center"/>
          </w:tcPr>
          <w:p>
            <w:pPr>
              <w:jc w:val="center"/>
              <w:rPr>
                <w:rFonts w:ascii="Times New Roman" w:hAnsi="Times New Roman" w:eastAsia="宋体" w:cs="宋体"/>
                <w:sz w:val="24"/>
                <w:szCs w:val="24"/>
              </w:rPr>
            </w:pPr>
            <w:r>
              <w:rPr>
                <w:rFonts w:hint="eastAsia" w:ascii="宋体" w:hAnsi="宋体" w:eastAsia="宋体" w:cs="宋体"/>
                <w:b w:val="0"/>
                <w:bCs w:val="0"/>
                <w:color w:val="000000"/>
                <w:sz w:val="24"/>
                <w:szCs w:val="24"/>
                <w:u w:val="single"/>
              </w:rPr>
              <w:t>中国重汽集团济南动力有限公司</w:t>
            </w:r>
            <w:r>
              <w:rPr>
                <w:rFonts w:hint="eastAsia" w:ascii="宋体" w:hAnsi="宋体" w:eastAsia="宋体" w:cs="宋体"/>
                <w:b w:val="0"/>
                <w:bCs w:val="0"/>
                <w:color w:val="000000"/>
                <w:sz w:val="24"/>
                <w:szCs w:val="24"/>
                <w:u w:val="single"/>
                <w:lang w:val="en-US" w:eastAsia="zh-CN"/>
              </w:rPr>
              <w:t>桌面HIL台架</w:t>
            </w:r>
          </w:p>
        </w:tc>
        <w:tc>
          <w:tcPr>
            <w:tcW w:w="2559"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见第二章技术要求</w:t>
            </w:r>
          </w:p>
        </w:tc>
        <w:tc>
          <w:tcPr>
            <w:tcW w:w="1513"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套</w:t>
            </w:r>
          </w:p>
        </w:tc>
        <w:tc>
          <w:tcPr>
            <w:tcW w:w="1105"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6</w:t>
            </w:r>
          </w:p>
        </w:tc>
      </w:tr>
    </w:tbl>
    <w:p>
      <w:pPr>
        <w:spacing w:before="120" w:beforeLines="50"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2.本表“供货方式”指：交钥匙方式——包括制造、运输、定点卸货、安装、调试和协助验收以及约定培训等。</w:t>
      </w:r>
    </w:p>
    <w:p>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四、采购货物特别说明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招标人所列货物的名称和规格型号，如为某一供应商所特有，则该名称和规格型号可作参考，但要求投标人所提供的货物必须满足本技术标书实质性要求。</w:t>
      </w:r>
    </w:p>
    <w:p>
      <w:pPr>
        <w:pStyle w:val="2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本项目涉及设备部分为进口品牌，于第二章技术要求部分具体约束。</w:t>
      </w:r>
    </w:p>
    <w:p>
      <w:pPr>
        <w:pStyle w:val="2"/>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本项目涉及设备，需按甲方要求提供设备零部件明细，并进行价格拆解。</w:t>
      </w:r>
    </w:p>
    <w:p>
      <w:pPr>
        <w:pStyle w:val="2"/>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本项目涉及的所有设备通讯协议需在技术方案评审时一并免费提交给招标方，并协助招标方开展设备集成工作。</w:t>
      </w:r>
    </w:p>
    <w:p>
      <w:pPr>
        <w:pStyle w:val="2"/>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各单元原理图、电路图、程序框图、技术规格和指标、接口协议、各部件型号和参数清单在协议签订2个月内提供。</w:t>
      </w:r>
    </w:p>
    <w:p>
      <w:pPr>
        <w:widowControl/>
        <w:jc w:val="left"/>
        <w:rPr>
          <w:rFonts w:ascii="Times New Roman" w:hAnsi="Times New Roman"/>
        </w:rPr>
      </w:pPr>
      <w:r>
        <w:rPr>
          <w:rFonts w:ascii="Times New Roman" w:hAnsi="Times New Roman"/>
        </w:rPr>
        <w:br w:type="page"/>
      </w:r>
    </w:p>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第二章  技术要求</w:t>
      </w:r>
    </w:p>
    <w:p>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一、特别提示</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bCs/>
          <w:sz w:val="24"/>
          <w:szCs w:val="24"/>
        </w:rPr>
        <w:t>4.投标人应根据招投标货物具体要求，提出</w:t>
      </w:r>
      <w:r>
        <w:rPr>
          <w:rFonts w:hint="eastAsia" w:ascii="Times New Roman" w:hAnsi="Times New Roman"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Times New Roman" w:hAnsi="Times New Roman" w:eastAsia="宋体" w:cs="宋体"/>
          <w:sz w:val="24"/>
          <w:szCs w:val="24"/>
        </w:rPr>
      </w:pPr>
      <w:r>
        <w:rPr>
          <w:rFonts w:hint="eastAsia" w:ascii="Times New Roman" w:hAnsi="Times New Roman"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6.为避免投标人优势在招标评审时漏项，质保期超出本技术标书要求的，应当在投标文件“技术偏离”中特别注明。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7.投标文件中，针对“特别提示”条款所做的回应，将作为投标人能否中标的重要依据之一。</w:t>
      </w:r>
    </w:p>
    <w:p>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二、基本要求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3.投标人应保证所供货物的先进性、可靠性、经济性和实用性，并为全新货物（或设备）。</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4.投标人应满足招标人提出的各项技术要求，必要时应当免费提供技术承诺或担保。</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rPr>
        <w:t>，</w:t>
      </w:r>
      <w:r>
        <w:rPr>
          <w:rFonts w:hint="eastAsia" w:ascii="宋体" w:hAnsi="宋体" w:eastAsia="宋体" w:cs="Times New Roman"/>
          <w:b/>
          <w:bCs/>
          <w:sz w:val="24"/>
          <w:szCs w:val="24"/>
          <w:highlight w:val="yellow"/>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rPr>
        <w:t>，电机功率&lt;7.5kw，优先选用一级能效:其中能源供应设备及年运行时间≥2000h 工艺设备电机必须选用一级能效</w:t>
      </w:r>
      <w:r>
        <w:rPr>
          <w:rFonts w:hint="eastAsia" w:ascii="Times New Roman" w:hAnsi="Times New Roman" w:eastAsia="宋体" w:cs="宋体"/>
          <w:sz w:val="24"/>
          <w:szCs w:val="24"/>
        </w:rPr>
        <w:t>。</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6.投标人应保证所供货物的完整性和成套性，能保证货物的正常运行、使用。</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8.程序图纸要求</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8.1 供方必须提供所有设备程序的源代码，包括但不限于 PLC程序、HMI 程序、机器人程序、视觉程序、伺服等。</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8.2 供方所提供的程序不得设置任何密码、保护等限制手段，PLC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8.3 HMI 界面等需要密码保护的程序，供方必须提供所有级别的用户名、密码。</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8.4 供方需在设备入场前提供设备程序源码，HMI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8.5 供方需在终验收前提供最新的设备程序源码和电气图纸，图纸要求为可编辑原格式（EPLAN、CAD 格式）且与实际接线一致。</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9.接口协议要求</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9.1 供方免费开放所有通讯接口，包括但不限于以太网</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RS232、RS485、PROFIBUS、PROFINET、MODBUS 等常见接口，以及设备特有的专用接口。</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9.2 供方免费提供数据交互功能，交互数据包括但不限于实时数据、历史数据、报警信息等。</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9.3 供方在设备入场前提供接口的技术文档和参数说明，包括但不限于接口协议、通讯速率、数据格式等。</w:t>
      </w:r>
    </w:p>
    <w:p>
      <w:pPr>
        <w:spacing w:line="360" w:lineRule="auto"/>
        <w:ind w:firstLine="480" w:firstLineChars="200"/>
      </w:pPr>
      <w:r>
        <w:rPr>
          <w:rFonts w:hint="eastAsia" w:ascii="宋体" w:hAnsi="宋体" w:eastAsia="宋体" w:cs="宋体"/>
          <w:color w:val="000000"/>
          <w:sz w:val="24"/>
          <w:szCs w:val="24"/>
          <w:highlight w:val="yellow"/>
        </w:rPr>
        <w:t>9.4 设备使用周期内，供方免费派遣技术人员与甲方调试团队共同进行设备通讯接口的调试工作</w:t>
      </w:r>
      <w:r>
        <w:rPr>
          <w:rFonts w:hint="eastAsia" w:ascii="Times New Roman" w:hAnsi="Times New Roman" w:eastAsia="宋体" w:cs="Times New Roman"/>
          <w:sz w:val="24"/>
          <w:szCs w:val="24"/>
          <w:highlight w:val="yellow"/>
        </w:rPr>
        <w:t>。</w:t>
      </w:r>
    </w:p>
    <w:p>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三、技术要求</w:t>
      </w:r>
    </w:p>
    <w:p>
      <w:pPr>
        <w:spacing w:line="360" w:lineRule="auto"/>
        <w:outlineLvl w:val="2"/>
        <w:rPr>
          <w:rFonts w:ascii="Times New Roman" w:hAnsi="Times New Roman" w:eastAsia="宋体" w:cs="Times New Roman"/>
          <w:b/>
          <w:bCs/>
          <w:sz w:val="24"/>
          <w:szCs w:val="24"/>
        </w:rPr>
      </w:pPr>
      <w:bookmarkStart w:id="31" w:name="_Hlk132112785"/>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设备名称</w:t>
      </w:r>
      <w:r>
        <w:rPr>
          <w:rFonts w:hint="eastAsia" w:ascii="Times New Roman" w:hAnsi="Times New Roman" w:eastAsia="宋体" w:cs="Times New Roman"/>
          <w:b/>
          <w:bCs/>
          <w:sz w:val="24"/>
          <w:szCs w:val="24"/>
        </w:rPr>
        <w:t>和数量</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桌面HIL测试系统，6套：</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设备</w:t>
      </w:r>
      <w:r>
        <w:rPr>
          <w:rFonts w:hint="eastAsia" w:ascii="Times New Roman" w:hAnsi="Times New Roman" w:eastAsia="宋体" w:cs="Times New Roman"/>
          <w:b/>
          <w:bCs/>
          <w:sz w:val="24"/>
          <w:szCs w:val="24"/>
        </w:rPr>
        <w:t>总体要求</w:t>
      </w:r>
    </w:p>
    <w:p>
      <w:pPr>
        <w:spacing w:line="360" w:lineRule="auto"/>
        <w:outlineLvl w:val="3"/>
        <w:rPr>
          <w:rFonts w:ascii="Times New Roman" w:hAnsi="Times New Roman" w:eastAsia="宋体" w:cs="Times New Roman"/>
          <w:b/>
          <w:bCs/>
          <w:sz w:val="24"/>
          <w:szCs w:val="24"/>
        </w:rPr>
      </w:pPr>
      <w:bookmarkStart w:id="32" w:name="_Toc57812079"/>
      <w:bookmarkStart w:id="33" w:name="_Toc57811859"/>
      <w:bookmarkStart w:id="34" w:name="_Toc57821194"/>
      <w:bookmarkStart w:id="35" w:name="_Hlk80456961"/>
      <w:r>
        <w:rPr>
          <w:rFonts w:hint="eastAsia" w:ascii="Times New Roman" w:hAnsi="Times New Roman" w:eastAsia="宋体" w:cs="Times New Roman"/>
          <w:b/>
          <w:bCs/>
          <w:sz w:val="24"/>
          <w:szCs w:val="24"/>
        </w:rPr>
        <w:t>2.1</w:t>
      </w:r>
      <w:r>
        <w:rPr>
          <w:rFonts w:ascii="Times New Roman" w:hAnsi="Times New Roman" w:eastAsia="宋体" w:cs="Times New Roman"/>
          <w:b/>
          <w:bCs/>
          <w:sz w:val="24"/>
          <w:szCs w:val="24"/>
        </w:rPr>
        <w:t>设备</w:t>
      </w:r>
      <w:bookmarkEnd w:id="32"/>
      <w:bookmarkEnd w:id="33"/>
      <w:bookmarkEnd w:id="34"/>
      <w:r>
        <w:rPr>
          <w:rFonts w:hint="eastAsia" w:ascii="Times New Roman" w:hAnsi="Times New Roman" w:eastAsia="宋体" w:cs="Times New Roman"/>
          <w:b/>
          <w:bCs/>
          <w:sz w:val="24"/>
          <w:szCs w:val="24"/>
        </w:rPr>
        <w:t>用途</w:t>
      </w:r>
      <w:bookmarkEnd w:id="35"/>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桌面HIL测试系统用于XEV混动系统（P</w:t>
      </w:r>
      <w:r>
        <w:rPr>
          <w:rFonts w:ascii="Times New Roman" w:hAnsi="Times New Roman" w:eastAsia="宋体" w:cs="Times New Roman"/>
          <w:sz w:val="24"/>
          <w:szCs w:val="21"/>
        </w:rPr>
        <w:t>2+</w:t>
      </w:r>
      <w:r>
        <w:rPr>
          <w:rFonts w:hint="eastAsia" w:ascii="Times New Roman" w:hAnsi="Times New Roman" w:eastAsia="宋体" w:cs="Times New Roman"/>
          <w:sz w:val="24"/>
          <w:szCs w:val="21"/>
        </w:rPr>
        <w:t>P</w:t>
      </w:r>
      <w:r>
        <w:rPr>
          <w:rFonts w:ascii="Times New Roman" w:hAnsi="Times New Roman" w:eastAsia="宋体" w:cs="Times New Roman"/>
          <w:sz w:val="24"/>
          <w:szCs w:val="21"/>
        </w:rPr>
        <w:t>4</w:t>
      </w:r>
      <w:r>
        <w:rPr>
          <w:rFonts w:hint="eastAsia" w:ascii="Times New Roman" w:hAnsi="Times New Roman" w:eastAsia="宋体" w:cs="Times New Roman"/>
          <w:sz w:val="24"/>
          <w:szCs w:val="21"/>
        </w:rPr>
        <w:t>）、P2混动系统、增程混动系统、EBS、EHPS、ECAS各控制器的功能测试、自动化测试，其中混合动力系统车辆物理模型支持的控制器调试功能包括但不限于整车控制、热管理控制、AMT变速箱控制、电驱桥换挡变速箱控制、PCC控制、PGS控制、PHC控制等。本测试系统是基于HIL技术的车辆仿真测试平台，主要实现车辆整车模型的实时运行，模拟被测控制器的输入信号，采集各控制器的输出和必要的输入信号，实现控制器对实时模型的闭环控制。</w:t>
      </w:r>
    </w:p>
    <w:p>
      <w:pPr>
        <w:spacing w:line="360" w:lineRule="auto"/>
        <w:outlineLvl w:val="3"/>
        <w:rPr>
          <w:rFonts w:ascii="Times New Roman" w:hAnsi="Times New Roman" w:eastAsia="宋体" w:cs="Times New Roman"/>
          <w:b/>
          <w:bCs/>
          <w:sz w:val="24"/>
          <w:szCs w:val="24"/>
        </w:rPr>
      </w:pPr>
      <w:bookmarkStart w:id="36" w:name="_Hlk80456973"/>
      <w:r>
        <w:rPr>
          <w:rFonts w:hint="eastAsia" w:ascii="Times New Roman" w:hAnsi="Times New Roman" w:eastAsia="宋体" w:cs="Times New Roman"/>
          <w:b/>
          <w:bCs/>
          <w:sz w:val="24"/>
          <w:szCs w:val="24"/>
        </w:rPr>
        <w:t>2.2设备功能</w:t>
      </w:r>
      <w:bookmarkEnd w:id="36"/>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投标方应完成招标方指定控制器的闭环仿真。针对各控制器可进行如下测试：</w:t>
      </w:r>
    </w:p>
    <w:p>
      <w:pPr>
        <w:pStyle w:val="34"/>
        <w:spacing w:line="360" w:lineRule="auto"/>
        <w:ind w:left="480"/>
        <w:rPr>
          <w:rFonts w:ascii="Times New Roman" w:hAnsi="Times New Roman" w:cs="宋体"/>
          <w:szCs w:val="24"/>
        </w:rPr>
      </w:pPr>
      <w:r>
        <w:rPr>
          <w:rFonts w:hint="eastAsia" w:ascii="Times New Roman" w:hAnsi="Times New Roman" w:cs="宋体"/>
          <w:szCs w:val="24"/>
        </w:rPr>
        <w:t>1、电气接口测试：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①最大工作电压测试；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②最小工作电压测试；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③输入信号采集测试；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④开关信号采集；</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⑤温度信号采集；</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⑥压力信号采集等；</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⑦输入输出之间的逻辑关系测试。</w:t>
      </w:r>
    </w:p>
    <w:p>
      <w:pPr>
        <w:pStyle w:val="34"/>
        <w:spacing w:line="360" w:lineRule="auto"/>
        <w:ind w:left="480"/>
        <w:rPr>
          <w:rFonts w:ascii="Times New Roman" w:hAnsi="Times New Roman" w:cs="宋体"/>
          <w:szCs w:val="24"/>
        </w:rPr>
      </w:pPr>
      <w:r>
        <w:rPr>
          <w:rFonts w:hint="eastAsia" w:ascii="Times New Roman" w:hAnsi="Times New Roman" w:cs="宋体"/>
          <w:szCs w:val="24"/>
        </w:rPr>
        <w:t>2、通讯测试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①协议一致性测试；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②交互逻辑测试；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③Checksum算法测试；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④LiveCounter测试；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⑤总线故障测试。</w:t>
      </w:r>
    </w:p>
    <w:p>
      <w:pPr>
        <w:pStyle w:val="34"/>
        <w:spacing w:line="360" w:lineRule="auto"/>
        <w:ind w:left="480"/>
        <w:rPr>
          <w:rFonts w:ascii="Times New Roman" w:hAnsi="Times New Roman" w:cs="宋体"/>
          <w:szCs w:val="24"/>
        </w:rPr>
      </w:pPr>
      <w:r>
        <w:rPr>
          <w:rFonts w:hint="eastAsia" w:ascii="Times New Roman" w:hAnsi="Times New Roman" w:cs="宋体"/>
          <w:szCs w:val="24"/>
        </w:rPr>
        <w:t>3、闭环工况下的软件功能逻辑测试</w:t>
      </w:r>
    </w:p>
    <w:p>
      <w:pPr>
        <w:pStyle w:val="34"/>
        <w:spacing w:line="360" w:lineRule="auto"/>
        <w:ind w:left="480"/>
        <w:rPr>
          <w:rFonts w:ascii="Times New Roman" w:hAnsi="Times New Roman" w:cs="宋体"/>
          <w:szCs w:val="24"/>
        </w:rPr>
      </w:pPr>
      <w:r>
        <w:rPr>
          <w:rFonts w:hint="eastAsia" w:ascii="Times New Roman" w:hAnsi="Times New Roman" w:cs="宋体"/>
          <w:szCs w:val="24"/>
        </w:rPr>
        <w:t>4、故障诊断策略测试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①输入信号超限测试；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②输入信号不合理测试；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③输入信号丢失测试；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④输入信号开路故障测试；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⑤输入信号短路故障测试；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⑥输出信号开路故障测试；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⑦输出信号短路故障测试；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⑧总线Bussoff测试；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⑨总线信号发送周期不合理测试；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⑩上述故障组合测试；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⑪动态工况过程中的信号故障测试等。</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 HIL硬件系统技术要求</w:t>
      </w:r>
    </w:p>
    <w:p>
      <w:pPr>
        <w:spacing w:line="360" w:lineRule="auto"/>
        <w:outlineLvl w:val="3"/>
        <w:rPr>
          <w:rFonts w:ascii="Times New Roman" w:hAnsi="Times New Roman" w:eastAsia="宋体" w:cs="Times New Roman"/>
          <w:b/>
          <w:bCs/>
          <w:sz w:val="24"/>
          <w:szCs w:val="24"/>
        </w:rPr>
      </w:pPr>
      <w:bookmarkStart w:id="37" w:name="_Hlk92440875"/>
      <w:r>
        <w:rPr>
          <w:rFonts w:hint="eastAsia" w:ascii="Times New Roman" w:hAnsi="Times New Roman" w:eastAsia="宋体" w:cs="Times New Roman"/>
          <w:b/>
          <w:bCs/>
          <w:sz w:val="24"/>
          <w:szCs w:val="24"/>
        </w:rPr>
        <w:t>3.1硬件资源需求</w:t>
      </w:r>
    </w:p>
    <w:p>
      <w:pPr>
        <w:spacing w:line="30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下面表格中提出的所有资源需求均为外部</w:t>
      </w:r>
      <w:bookmarkStart w:id="38" w:name="_Hlk92440952"/>
      <w:r>
        <w:rPr>
          <w:rFonts w:hint="eastAsia" w:ascii="Times New Roman" w:hAnsi="Times New Roman" w:eastAsia="宋体" w:cs="Times New Roman"/>
          <w:sz w:val="24"/>
          <w:szCs w:val="21"/>
        </w:rPr>
        <w:t>可供待测控制器使用的需求</w:t>
      </w:r>
      <w:bookmarkEnd w:id="38"/>
      <w:r>
        <w:rPr>
          <w:rFonts w:hint="eastAsia" w:ascii="Times New Roman" w:hAnsi="Times New Roman" w:eastAsia="宋体" w:cs="Times New Roman"/>
          <w:sz w:val="24"/>
          <w:szCs w:val="21"/>
        </w:rPr>
        <w:t>，HIL系统内部使用不得占用。</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3.1.1 新能源控制器 HIL硬件机柜硬件资源需求</w:t>
      </w:r>
    </w:p>
    <w:p>
      <w:pPr>
        <w:numPr>
          <w:ilvl w:val="2"/>
          <w:numId w:val="0"/>
        </w:numPr>
        <w:tabs>
          <w:tab w:val="left" w:pos="624"/>
        </w:tabs>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1）XEV混动系统（P</w:t>
      </w:r>
      <w:r>
        <w:rPr>
          <w:rFonts w:ascii="Times New Roman" w:hAnsi="Times New Roman" w:eastAsia="宋体" w:cs="Times New Roman"/>
          <w:sz w:val="24"/>
          <w:szCs w:val="21"/>
        </w:rPr>
        <w:t>2+P4</w:t>
      </w:r>
      <w:r>
        <w:rPr>
          <w:rFonts w:hint="eastAsia" w:ascii="Times New Roman" w:hAnsi="Times New Roman" w:eastAsia="宋体" w:cs="Times New Roman"/>
          <w:sz w:val="24"/>
          <w:szCs w:val="21"/>
        </w:rPr>
        <w:t>）台架，资源需求如下</w:t>
      </w:r>
    </w:p>
    <w:bookmarkEnd w:id="37"/>
    <w:tbl>
      <w:tblPr>
        <w:tblStyle w:val="39"/>
        <w:tblW w:w="4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电感型位置传感器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磁电型转速传感器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霍尔电压型转速传感器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霍尔电流型转速传感器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车载以太网通道</w:t>
            </w:r>
          </w:p>
        </w:tc>
        <w:tc>
          <w:tcPr>
            <w:tcW w:w="1378" w:type="pct"/>
            <w:vAlign w:val="center"/>
          </w:tcPr>
          <w:p>
            <w:pPr>
              <w:spacing w:line="30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驾驶员模型，发动机模型，AMT变速箱模型，P2电机模型，P4电机模型，离合器模型，电驱桥换挡变速箱模型，差速器模型，主减模型，电池模型，热管理模型、多合一模型、总线接口模型、虚拟控制器模型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rPr>
          <w:rFonts w:ascii="Times New Roman" w:hAnsi="Times New Roman"/>
        </w:rPr>
      </w:pPr>
    </w:p>
    <w:p>
      <w:pPr>
        <w:numPr>
          <w:ilvl w:val="0"/>
          <w:numId w:val="14"/>
        </w:numPr>
        <w:tabs>
          <w:tab w:val="left" w:pos="624"/>
        </w:tabs>
        <w:spacing w:line="360" w:lineRule="auto"/>
        <w:rPr>
          <w:rFonts w:hint="eastAsia"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P2混动系统台架，资源需求如下：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电感型位置传感器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磁电型转速传感器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霍尔电压型转速传感器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霍尔电流型转速传感器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车载以太网通道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驾驶员模型，发动机模型，AMT变速箱模型，P2电机模型，离合器模型，齿轮箱模型，差速器模型，主减模型，电池模型，热管理模型、多合一模型、总线接口模型、虚拟控制器模型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增程混动系统台架，资源需求如下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电感型位置传感器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磁电型转速传感器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霍尔电压型转速传感器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霍尔电流型转速传感器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增程器模型，中央驱动电机模型、P4电机模型，离合器模型，中央驱动AMT变速箱模型，电驱桥换挡变速箱模型，差速器模型，主减模型，电池模型，多合一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EBS台架，资源需求如下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转速信号仿真通道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车载以太网</w:t>
            </w:r>
          </w:p>
        </w:tc>
        <w:tc>
          <w:tcPr>
            <w:tcW w:w="1378" w:type="pct"/>
            <w:vAlign w:val="center"/>
          </w:tcPr>
          <w:p>
            <w:pPr>
              <w:spacing w:line="30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驾驶员模型，发动机模型，电机模型，离合器模型，齿轮箱模型，差速器模型，主减模型，电池模型，制动系统模型、总线接口模型、虚拟控制器模型，可配置燃油车型和混动车型（P2电机、P4电机）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ECAS台架，资源需求如下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bookmarkStart w:id="39" w:name="_Hlk195878468"/>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20</w:t>
            </w:r>
          </w:p>
        </w:tc>
      </w:tr>
      <w:bookmark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转速信号仿真通道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车载以太网</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驾驶员模型，发动机模型，电机模型，离合器模型，齿轮箱模型，差速器模型，主减模型，电池模型、悬架模型、总线接口模型、虚拟控制器模型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EHPS台架，资源需求如下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车载以太网</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负载台架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EPS电机负载台架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驾驶员模型，发动机模型，电机模型，离合器模型，齿轮箱模型，差速器模型，主减模型，电池模型、液压转向系统模型、总线接口模型、虚拟控制器模型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3.2 实时仿真机要求</w:t>
      </w:r>
    </w:p>
    <w:p>
      <w:pPr>
        <w:numPr>
          <w:ilvl w:val="0"/>
          <w:numId w:val="1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运行实时64位实时LINUX操作系统；</w:t>
      </w:r>
    </w:p>
    <w:p>
      <w:pPr>
        <w:numPr>
          <w:ilvl w:val="0"/>
          <w:numId w:val="1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CPU核数≥</w:t>
      </w:r>
      <w:r>
        <w:rPr>
          <w:rFonts w:hint="eastAsia" w:ascii="Times New Roman" w:hAnsi="Times New Roman" w:eastAsia="宋体" w:cs="Times New Roman"/>
          <w:sz w:val="24"/>
          <w:szCs w:val="21"/>
          <w:lang w:val="en-US" w:eastAsia="zh-CN"/>
        </w:rPr>
        <w:t>4</w:t>
      </w:r>
      <w:r>
        <w:rPr>
          <w:rFonts w:hint="eastAsia" w:ascii="Times New Roman" w:hAnsi="Times New Roman" w:eastAsia="宋体" w:cs="Times New Roman"/>
          <w:sz w:val="24"/>
          <w:szCs w:val="21"/>
        </w:rPr>
        <w:t>，每核最高主频≥</w:t>
      </w:r>
      <w:r>
        <w:rPr>
          <w:rFonts w:hint="eastAsia" w:ascii="Times New Roman" w:hAnsi="Times New Roman" w:eastAsia="宋体" w:cs="Times New Roman"/>
          <w:sz w:val="24"/>
          <w:szCs w:val="21"/>
          <w:lang w:val="en-US" w:eastAsia="zh-CN"/>
        </w:rPr>
        <w:t>2.2</w:t>
      </w:r>
      <w:r>
        <w:rPr>
          <w:rFonts w:ascii="Times New Roman" w:hAnsi="Times New Roman" w:eastAsia="宋体" w:cs="Times New Roman"/>
          <w:sz w:val="24"/>
          <w:szCs w:val="21"/>
        </w:rPr>
        <w:t>GHz</w:t>
      </w:r>
      <w:r>
        <w:rPr>
          <w:rFonts w:hint="eastAsia" w:ascii="Times New Roman" w:hAnsi="Times New Roman" w:eastAsia="宋体" w:cs="Times New Roman"/>
          <w:sz w:val="24"/>
          <w:szCs w:val="21"/>
        </w:rPr>
        <w:t>，用户可根据需要指定任意核运行仿真模型；</w:t>
      </w:r>
    </w:p>
    <w:p>
      <w:pPr>
        <w:numPr>
          <w:ilvl w:val="0"/>
          <w:numId w:val="1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内存≥</w:t>
      </w:r>
      <w:r>
        <w:rPr>
          <w:rFonts w:hint="eastAsia" w:ascii="Times New Roman" w:hAnsi="Times New Roman" w:eastAsia="宋体" w:cs="Times New Roman"/>
          <w:sz w:val="24"/>
          <w:szCs w:val="21"/>
          <w:lang w:val="en-US" w:eastAsia="zh-CN"/>
        </w:rPr>
        <w:t>8</w:t>
      </w:r>
      <w:r>
        <w:rPr>
          <w:rFonts w:ascii="Times New Roman" w:hAnsi="Times New Roman" w:eastAsia="宋体" w:cs="Times New Roman"/>
          <w:sz w:val="24"/>
          <w:szCs w:val="21"/>
        </w:rPr>
        <w:t>G</w:t>
      </w:r>
      <w:r>
        <w:rPr>
          <w:rFonts w:hint="eastAsia" w:ascii="Times New Roman" w:hAnsi="Times New Roman" w:eastAsia="宋体" w:cs="Times New Roman"/>
          <w:sz w:val="24"/>
          <w:szCs w:val="21"/>
        </w:rPr>
        <w:t>，DDR4及以上</w:t>
      </w:r>
      <w:r>
        <w:rPr>
          <w:rFonts w:hint="eastAsia" w:ascii="Times New Roman" w:hAnsi="Times New Roman" w:eastAsia="宋体" w:cs="Times New Roman"/>
          <w:sz w:val="24"/>
          <w:szCs w:val="21"/>
          <w:lang w:eastAsia="zh-CN"/>
        </w:rPr>
        <w:t>。</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3.3通用IO通道技术要求</w:t>
      </w:r>
    </w:p>
    <w:p>
      <w:pPr>
        <w:spacing w:line="360" w:lineRule="auto"/>
        <w:outlineLvl w:val="4"/>
        <w:rPr>
          <w:rFonts w:ascii="Times New Roman" w:hAnsi="Times New Roman" w:eastAsia="宋体" w:cs="Times New Roman"/>
          <w:sz w:val="24"/>
          <w:szCs w:val="24"/>
        </w:rPr>
      </w:pPr>
      <w:bookmarkStart w:id="40" w:name="_Toc36026828"/>
      <w:bookmarkStart w:id="41" w:name="_Toc36027001"/>
      <w:r>
        <w:rPr>
          <w:rFonts w:hint="eastAsia" w:ascii="Times New Roman" w:hAnsi="Times New Roman" w:eastAsia="宋体" w:cs="Times New Roman"/>
          <w:sz w:val="24"/>
          <w:szCs w:val="24"/>
        </w:rPr>
        <w:t>3.3.1模拟输入通道</w:t>
      </w:r>
      <w:bookmarkEnd w:id="40"/>
      <w:bookmarkEnd w:id="41"/>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分辨率：≥</w:t>
      </w:r>
      <w:r>
        <w:rPr>
          <w:rFonts w:ascii="Times New Roman" w:hAnsi="Times New Roman" w:eastAsia="宋体" w:cs="Times New Roman"/>
          <w:sz w:val="24"/>
          <w:szCs w:val="21"/>
        </w:rPr>
        <w:t>1</w:t>
      </w:r>
      <w:r>
        <w:rPr>
          <w:rFonts w:hint="eastAsia" w:ascii="Times New Roman" w:hAnsi="Times New Roman" w:eastAsia="宋体" w:cs="Times New Roman"/>
          <w:sz w:val="24"/>
          <w:szCs w:val="21"/>
        </w:rPr>
        <w:t>6</w:t>
      </w:r>
      <w:r>
        <w:rPr>
          <w:rFonts w:ascii="Times New Roman" w:hAnsi="Times New Roman" w:eastAsia="宋体" w:cs="Times New Roman"/>
          <w:sz w:val="24"/>
          <w:szCs w:val="21"/>
        </w:rPr>
        <w:t>bit</w:t>
      </w:r>
      <w:r>
        <w:rPr>
          <w:rFonts w:hint="eastAsia" w:ascii="Times New Roman" w:hAnsi="Times New Roman" w:eastAsia="宋体" w:cs="Times New Roman"/>
          <w:sz w:val="24"/>
          <w:szCs w:val="21"/>
        </w:rPr>
        <w:t>；</w:t>
      </w:r>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采样率：≥52k</w:t>
      </w:r>
      <w:r>
        <w:rPr>
          <w:rFonts w:ascii="Times New Roman" w:hAnsi="Times New Roman" w:eastAsia="宋体" w:cs="Times New Roman"/>
          <w:sz w:val="24"/>
          <w:szCs w:val="21"/>
        </w:rPr>
        <w:t xml:space="preserve"> Sample/s</w:t>
      </w:r>
      <w:r>
        <w:rPr>
          <w:rFonts w:hint="eastAsia" w:ascii="Times New Roman" w:hAnsi="Times New Roman" w:eastAsia="宋体" w:cs="Times New Roman"/>
          <w:sz w:val="24"/>
          <w:szCs w:val="21"/>
        </w:rPr>
        <w:t>；</w:t>
      </w:r>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电压采集范围</w:t>
      </w:r>
      <w:r>
        <w:rPr>
          <w:rFonts w:ascii="Times New Roman" w:hAnsi="Times New Roman" w:eastAsia="宋体" w:cs="Times New Roman"/>
          <w:sz w:val="24"/>
          <w:szCs w:val="21"/>
        </w:rPr>
        <w:t>可以</w:t>
      </w:r>
      <w:r>
        <w:rPr>
          <w:rFonts w:hint="eastAsia" w:ascii="Times New Roman" w:hAnsi="Times New Roman" w:eastAsia="宋体" w:cs="Times New Roman"/>
          <w:sz w:val="24"/>
          <w:szCs w:val="21"/>
        </w:rPr>
        <w:t>通过软件</w:t>
      </w:r>
      <w:r>
        <w:rPr>
          <w:rFonts w:ascii="Times New Roman" w:hAnsi="Times New Roman" w:eastAsia="宋体" w:cs="Times New Roman"/>
          <w:sz w:val="24"/>
          <w:szCs w:val="21"/>
        </w:rPr>
        <w:t>配置</w:t>
      </w:r>
      <w:r>
        <w:rPr>
          <w:rFonts w:hint="eastAsia" w:ascii="Times New Roman" w:hAnsi="Times New Roman" w:eastAsia="宋体" w:cs="Times New Roman"/>
          <w:sz w:val="24"/>
          <w:szCs w:val="21"/>
        </w:rPr>
        <w:t>，量程</w:t>
      </w:r>
      <w:r>
        <w:rPr>
          <w:rFonts w:ascii="Times New Roman" w:hAnsi="Times New Roman" w:eastAsia="宋体" w:cs="Times New Roman"/>
          <w:sz w:val="24"/>
          <w:szCs w:val="21"/>
        </w:rPr>
        <w:t>0V</w:t>
      </w:r>
      <w:r>
        <w:rPr>
          <w:rFonts w:hint="eastAsia" w:ascii="Times New Roman" w:hAnsi="Times New Roman" w:eastAsia="宋体" w:cs="Times New Roman"/>
          <w:sz w:val="24"/>
          <w:szCs w:val="21"/>
        </w:rPr>
        <w:t>~</w:t>
      </w:r>
      <w:r>
        <w:rPr>
          <w:rFonts w:ascii="Times New Roman" w:hAnsi="Times New Roman" w:eastAsia="宋体" w:cs="Times New Roman"/>
          <w:sz w:val="24"/>
          <w:szCs w:val="21"/>
        </w:rPr>
        <w:t>60</w:t>
      </w:r>
      <w:r>
        <w:rPr>
          <w:rFonts w:hint="eastAsia" w:ascii="Times New Roman" w:hAnsi="Times New Roman" w:eastAsia="宋体" w:cs="Times New Roman"/>
          <w:sz w:val="24"/>
          <w:szCs w:val="21"/>
        </w:rPr>
        <w:t>V；</w:t>
      </w:r>
      <w:r>
        <w:rPr>
          <w:rFonts w:ascii="Times New Roman" w:hAnsi="Times New Roman" w:eastAsia="宋体" w:cs="Times New Roman"/>
          <w:sz w:val="24"/>
          <w:szCs w:val="21"/>
        </w:rPr>
        <w:t xml:space="preserve"> </w:t>
      </w:r>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过压保护范围：</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spacing w:line="360" w:lineRule="auto"/>
        <w:outlineLvl w:val="4"/>
        <w:rPr>
          <w:rFonts w:ascii="Times New Roman" w:hAnsi="Times New Roman" w:eastAsia="宋体" w:cs="Times New Roman"/>
          <w:sz w:val="24"/>
          <w:szCs w:val="24"/>
        </w:rPr>
      </w:pPr>
      <w:bookmarkStart w:id="42" w:name="_Toc36026829"/>
      <w:bookmarkStart w:id="43" w:name="_Toc36027002"/>
      <w:bookmarkStart w:id="44" w:name="_Toc515378932"/>
      <w:r>
        <w:rPr>
          <w:rFonts w:hint="eastAsia" w:ascii="Times New Roman" w:hAnsi="Times New Roman" w:eastAsia="宋体" w:cs="Times New Roman"/>
          <w:sz w:val="24"/>
          <w:szCs w:val="24"/>
        </w:rPr>
        <w:t>3.3.2模拟输出通道</w:t>
      </w:r>
      <w:bookmarkEnd w:id="42"/>
      <w:bookmarkEnd w:id="43"/>
      <w:bookmarkEnd w:id="44"/>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分辨率：≥</w:t>
      </w:r>
      <w:r>
        <w:rPr>
          <w:rFonts w:ascii="Times New Roman" w:hAnsi="Times New Roman" w:eastAsia="宋体" w:cs="Times New Roman"/>
          <w:sz w:val="24"/>
          <w:szCs w:val="21"/>
        </w:rPr>
        <w:t>1</w:t>
      </w:r>
      <w:r>
        <w:rPr>
          <w:rFonts w:hint="eastAsia" w:ascii="Times New Roman" w:hAnsi="Times New Roman" w:eastAsia="宋体" w:cs="Times New Roman"/>
          <w:sz w:val="24"/>
          <w:szCs w:val="21"/>
        </w:rPr>
        <w:t>6</w:t>
      </w:r>
      <w:r>
        <w:rPr>
          <w:rFonts w:ascii="Times New Roman" w:hAnsi="Times New Roman" w:eastAsia="宋体" w:cs="Times New Roman"/>
          <w:sz w:val="24"/>
          <w:szCs w:val="21"/>
        </w:rPr>
        <w:t>bit</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输出电压范围：0</w:t>
      </w:r>
      <w:r>
        <w:rPr>
          <w:rFonts w:ascii="Times New Roman" w:hAnsi="Times New Roman" w:eastAsia="宋体" w:cs="Times New Roman"/>
          <w:sz w:val="24"/>
          <w:szCs w:val="21"/>
        </w:rPr>
        <w:t>V~+10V</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最大持续电流：≥</w:t>
      </w:r>
      <w:r>
        <w:rPr>
          <w:rFonts w:ascii="Times New Roman" w:hAnsi="Times New Roman" w:eastAsia="宋体" w:cs="Times New Roman"/>
          <w:sz w:val="24"/>
          <w:szCs w:val="21"/>
        </w:rPr>
        <w:t>±</w:t>
      </w:r>
      <w:r>
        <w:rPr>
          <w:rFonts w:hint="eastAsia" w:ascii="Times New Roman" w:hAnsi="Times New Roman" w:eastAsia="宋体" w:cs="Times New Roman"/>
          <w:sz w:val="24"/>
          <w:szCs w:val="21"/>
          <w:lang w:val="en-US" w:eastAsia="zh-CN"/>
        </w:rPr>
        <w:t>8</w:t>
      </w:r>
      <w:r>
        <w:rPr>
          <w:rFonts w:ascii="Times New Roman" w:hAnsi="Times New Roman" w:eastAsia="宋体" w:cs="Times New Roman"/>
          <w:sz w:val="24"/>
          <w:szCs w:val="21"/>
        </w:rPr>
        <w:t>mA</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输出短路保护</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过压保护范围：</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输出最大误差：≤</w:t>
      </w:r>
      <w:r>
        <w:rPr>
          <w:rFonts w:ascii="Times New Roman" w:hAnsi="Times New Roman" w:eastAsia="宋体" w:cs="Times New Roman"/>
          <w:sz w:val="24"/>
          <w:szCs w:val="21"/>
        </w:rPr>
        <w:t>±</w:t>
      </w:r>
      <w:r>
        <w:rPr>
          <w:rFonts w:hint="eastAsia" w:ascii="Times New Roman" w:hAnsi="Times New Roman" w:eastAsia="宋体" w:cs="Times New Roman"/>
          <w:sz w:val="24"/>
          <w:szCs w:val="21"/>
        </w:rPr>
        <w:t>5mV。</w:t>
      </w:r>
    </w:p>
    <w:p>
      <w:pPr>
        <w:spacing w:line="360" w:lineRule="auto"/>
        <w:outlineLvl w:val="4"/>
        <w:rPr>
          <w:rFonts w:ascii="Times New Roman" w:hAnsi="Times New Roman" w:eastAsia="宋体" w:cs="Times New Roman"/>
          <w:sz w:val="24"/>
          <w:szCs w:val="24"/>
        </w:rPr>
      </w:pPr>
      <w:bookmarkStart w:id="45" w:name="_Toc36027003"/>
      <w:bookmarkStart w:id="46" w:name="_Toc36026830"/>
      <w:r>
        <w:rPr>
          <w:rFonts w:hint="eastAsia" w:ascii="Times New Roman" w:hAnsi="Times New Roman" w:eastAsia="宋体" w:cs="Times New Roman"/>
          <w:sz w:val="24"/>
          <w:szCs w:val="24"/>
        </w:rPr>
        <w:t>3.3.3数字/PWM输入通道</w:t>
      </w:r>
      <w:bookmarkEnd w:id="45"/>
      <w:bookmarkEnd w:id="46"/>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输入电压范围：0V~+60V；</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输入阻抗：≥</w:t>
      </w:r>
      <w:r>
        <w:rPr>
          <w:rFonts w:hint="eastAsia" w:ascii="Times New Roman" w:hAnsi="Times New Roman" w:eastAsia="宋体" w:cs="Times New Roman"/>
          <w:sz w:val="24"/>
          <w:szCs w:val="21"/>
          <w:lang w:val="en-US" w:eastAsia="zh-CN"/>
        </w:rPr>
        <w:t>120k</w:t>
      </w:r>
      <w:r>
        <w:rPr>
          <w:rFonts w:hint="eastAsia" w:ascii="Times New Roman" w:hAnsi="Times New Roman" w:eastAsia="宋体" w:cs="Times New Roman"/>
          <w:sz w:val="24"/>
          <w:szCs w:val="21"/>
        </w:rPr>
        <w:t xml:space="preserve"> Ohm；</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阈值电压：可以通过软件设定，范围覆盖+1~+</w:t>
      </w:r>
      <w:r>
        <w:rPr>
          <w:rFonts w:hint="eastAsia" w:ascii="Times New Roman" w:hAnsi="Times New Roman" w:eastAsia="宋体" w:cs="Times New Roman"/>
          <w:sz w:val="24"/>
          <w:szCs w:val="21"/>
          <w:lang w:val="en-US" w:eastAsia="zh-CN"/>
        </w:rPr>
        <w:t>12</w:t>
      </w:r>
      <w:r>
        <w:rPr>
          <w:rFonts w:hint="eastAsia" w:ascii="Times New Roman" w:hAnsi="Times New Roman" w:eastAsia="宋体" w:cs="Times New Roman"/>
          <w:sz w:val="24"/>
          <w:szCs w:val="21"/>
        </w:rPr>
        <w:t>V；</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每个通道软件上可以配置为数字输入或PWM输入</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频率测量范围：0.5Hz~1</w:t>
      </w:r>
      <w:r>
        <w:rPr>
          <w:rFonts w:ascii="Times New Roman" w:hAnsi="Times New Roman" w:eastAsia="宋体" w:cs="Times New Roman"/>
          <w:sz w:val="24"/>
          <w:szCs w:val="21"/>
        </w:rPr>
        <w:t>00</w:t>
      </w:r>
      <w:r>
        <w:rPr>
          <w:rFonts w:hint="eastAsia" w:ascii="Times New Roman" w:hAnsi="Times New Roman" w:eastAsia="宋体" w:cs="Times New Roman"/>
          <w:sz w:val="24"/>
          <w:szCs w:val="21"/>
        </w:rPr>
        <w:t>kHz；</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过压保护范围：≥</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numPr>
          <w:ilvl w:val="0"/>
          <w:numId w:val="18"/>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100kHz以内，频率测量误差≤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0.2%；</w:t>
      </w:r>
    </w:p>
    <w:p>
      <w:pPr>
        <w:numPr>
          <w:ilvl w:val="0"/>
          <w:numId w:val="18"/>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w:t>
      </w:r>
      <w:r>
        <w:rPr>
          <w:rFonts w:ascii="Times New Roman" w:hAnsi="Times New Roman" w:eastAsia="宋体" w:cs="Times New Roman"/>
          <w:color w:val="000000"/>
          <w:sz w:val="24"/>
          <w:szCs w:val="21"/>
        </w:rPr>
        <w:t>1</w:t>
      </w:r>
      <w:r>
        <w:rPr>
          <w:rFonts w:hint="eastAsia" w:ascii="Times New Roman" w:hAnsi="Times New Roman" w:eastAsia="宋体" w:cs="Times New Roman"/>
          <w:color w:val="000000"/>
          <w:sz w:val="24"/>
          <w:szCs w:val="21"/>
        </w:rPr>
        <w:t>%~99%的占空比区间内，占空比绝对误差≤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0.1%。</w:t>
      </w:r>
    </w:p>
    <w:p>
      <w:pPr>
        <w:spacing w:line="360" w:lineRule="auto"/>
        <w:outlineLvl w:val="4"/>
        <w:rPr>
          <w:rFonts w:ascii="Times New Roman" w:hAnsi="Times New Roman" w:eastAsia="宋体" w:cs="Times New Roman"/>
          <w:sz w:val="24"/>
          <w:szCs w:val="24"/>
        </w:rPr>
      </w:pPr>
      <w:bookmarkStart w:id="47" w:name="_Toc36027004"/>
      <w:bookmarkStart w:id="48" w:name="_Toc36026831"/>
      <w:bookmarkStart w:id="49" w:name="_Toc515378934"/>
      <w:r>
        <w:rPr>
          <w:rFonts w:hint="eastAsia" w:ascii="Times New Roman" w:hAnsi="Times New Roman" w:eastAsia="宋体" w:cs="Times New Roman"/>
          <w:sz w:val="24"/>
          <w:szCs w:val="24"/>
        </w:rPr>
        <w:t>3.3.4数字/PWM输出通道</w:t>
      </w:r>
      <w:bookmarkEnd w:id="47"/>
      <w:bookmarkEnd w:id="48"/>
      <w:bookmarkEnd w:id="49"/>
    </w:p>
    <w:p>
      <w:pPr>
        <w:numPr>
          <w:ilvl w:val="0"/>
          <w:numId w:val="19"/>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输出可以</w:t>
      </w:r>
      <w:r>
        <w:rPr>
          <w:rFonts w:hint="eastAsia" w:ascii="Times New Roman" w:hAnsi="Times New Roman" w:eastAsia="宋体" w:cs="Times New Roman"/>
          <w:sz w:val="24"/>
          <w:szCs w:val="21"/>
        </w:rPr>
        <w:t>通过软件</w:t>
      </w:r>
      <w:r>
        <w:rPr>
          <w:rFonts w:ascii="Times New Roman" w:hAnsi="Times New Roman" w:eastAsia="宋体" w:cs="Times New Roman"/>
          <w:sz w:val="24"/>
          <w:szCs w:val="21"/>
        </w:rPr>
        <w:t>配置为</w:t>
      </w:r>
      <w:r>
        <w:rPr>
          <w:rFonts w:hint="eastAsia" w:ascii="Times New Roman" w:hAnsi="Times New Roman" w:eastAsia="宋体" w:cs="Times New Roman"/>
          <w:sz w:val="24"/>
          <w:szCs w:val="21"/>
        </w:rPr>
        <w:t>上拉</w:t>
      </w:r>
      <w:r>
        <w:rPr>
          <w:rFonts w:ascii="Times New Roman" w:hAnsi="Times New Roman" w:eastAsia="宋体" w:cs="Times New Roman"/>
          <w:sz w:val="24"/>
          <w:szCs w:val="21"/>
        </w:rPr>
        <w:t>、</w:t>
      </w:r>
      <w:r>
        <w:rPr>
          <w:rFonts w:hint="eastAsia" w:ascii="Times New Roman" w:hAnsi="Times New Roman" w:eastAsia="宋体" w:cs="Times New Roman"/>
          <w:sz w:val="24"/>
          <w:szCs w:val="21"/>
        </w:rPr>
        <w:t>下拉</w:t>
      </w:r>
      <w:r>
        <w:rPr>
          <w:rFonts w:ascii="Times New Roman" w:hAnsi="Times New Roman" w:eastAsia="宋体" w:cs="Times New Roman"/>
          <w:sz w:val="24"/>
          <w:szCs w:val="21"/>
        </w:rPr>
        <w:t>或者</w:t>
      </w:r>
      <w:r>
        <w:rPr>
          <w:rFonts w:hint="eastAsia" w:ascii="Times New Roman" w:hAnsi="Times New Roman" w:eastAsia="宋体" w:cs="Times New Roman"/>
          <w:sz w:val="24"/>
          <w:szCs w:val="21"/>
        </w:rPr>
        <w:t>上拉</w:t>
      </w:r>
      <w:r>
        <w:rPr>
          <w:rFonts w:ascii="Times New Roman" w:hAnsi="Times New Roman" w:eastAsia="宋体" w:cs="Times New Roman"/>
          <w:sz w:val="24"/>
          <w:szCs w:val="21"/>
        </w:rPr>
        <w:t>+</w:t>
      </w:r>
      <w:r>
        <w:rPr>
          <w:rFonts w:hint="eastAsia" w:ascii="Times New Roman" w:hAnsi="Times New Roman" w:eastAsia="宋体" w:cs="Times New Roman"/>
          <w:sz w:val="24"/>
          <w:szCs w:val="21"/>
        </w:rPr>
        <w:t>下拉输出形式；</w:t>
      </w:r>
    </w:p>
    <w:p>
      <w:pPr>
        <w:numPr>
          <w:ilvl w:val="0"/>
          <w:numId w:val="1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每个通道可以有一个外部参考电源，可以通过软件控制在两个</w:t>
      </w:r>
      <w:r>
        <w:rPr>
          <w:rFonts w:ascii="Times New Roman" w:hAnsi="Times New Roman" w:eastAsia="宋体" w:cs="Times New Roman"/>
          <w:sz w:val="24"/>
          <w:szCs w:val="21"/>
        </w:rPr>
        <w:t>外部参考电源</w:t>
      </w:r>
      <w:r>
        <w:rPr>
          <w:rFonts w:hint="eastAsia" w:ascii="Times New Roman" w:hAnsi="Times New Roman" w:eastAsia="宋体" w:cs="Times New Roman"/>
          <w:sz w:val="24"/>
          <w:szCs w:val="21"/>
        </w:rPr>
        <w:t>之间进行选择</w:t>
      </w:r>
      <w:r>
        <w:rPr>
          <w:rFonts w:ascii="Times New Roman" w:hAnsi="Times New Roman" w:eastAsia="宋体" w:cs="Times New Roman"/>
          <w:sz w:val="24"/>
          <w:szCs w:val="21"/>
        </w:rPr>
        <w:t>，</w:t>
      </w:r>
      <w:r>
        <w:rPr>
          <w:rFonts w:hint="eastAsia" w:ascii="Times New Roman" w:hAnsi="Times New Roman" w:eastAsia="宋体" w:cs="Times New Roman"/>
          <w:sz w:val="24"/>
          <w:szCs w:val="21"/>
        </w:rPr>
        <w:t>参考电源</w:t>
      </w:r>
      <w:r>
        <w:rPr>
          <w:rFonts w:ascii="Times New Roman" w:hAnsi="Times New Roman" w:eastAsia="宋体" w:cs="Times New Roman"/>
          <w:sz w:val="24"/>
          <w:szCs w:val="21"/>
        </w:rPr>
        <w:t>电压范围</w:t>
      </w:r>
      <w:r>
        <w:rPr>
          <w:rFonts w:hint="eastAsia" w:ascii="Times New Roman" w:hAnsi="Times New Roman" w:eastAsia="宋体" w:cs="Times New Roman"/>
          <w:sz w:val="24"/>
          <w:szCs w:val="21"/>
          <w:lang w:val="en-US" w:eastAsia="zh-CN"/>
        </w:rPr>
        <w:t>5</w:t>
      </w:r>
      <w:r>
        <w:rPr>
          <w:rFonts w:ascii="Times New Roman" w:hAnsi="Times New Roman" w:eastAsia="宋体" w:cs="Times New Roman"/>
          <w:sz w:val="24"/>
          <w:szCs w:val="21"/>
        </w:rPr>
        <w:t>~60V</w:t>
      </w:r>
      <w:r>
        <w:rPr>
          <w:rFonts w:hint="eastAsia" w:ascii="Times New Roman" w:hAnsi="Times New Roman" w:eastAsia="宋体" w:cs="Times New Roman"/>
          <w:sz w:val="24"/>
          <w:szCs w:val="21"/>
        </w:rPr>
        <w:t>；</w:t>
      </w:r>
    </w:p>
    <w:p>
      <w:pPr>
        <w:numPr>
          <w:ilvl w:val="0"/>
          <w:numId w:val="19"/>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最大持续电流</w:t>
      </w:r>
      <w:r>
        <w:rPr>
          <w:rFonts w:hint="eastAsia" w:ascii="Times New Roman" w:hAnsi="Times New Roman" w:eastAsia="宋体" w:cs="Times New Roman"/>
          <w:sz w:val="24"/>
          <w:szCs w:val="21"/>
        </w:rPr>
        <w:t>：≥3</w:t>
      </w:r>
      <w:r>
        <w:rPr>
          <w:rFonts w:ascii="Times New Roman" w:hAnsi="Times New Roman" w:eastAsia="宋体" w:cs="Times New Roman"/>
          <w:sz w:val="24"/>
          <w:szCs w:val="21"/>
        </w:rPr>
        <w:t>0mA</w:t>
      </w:r>
      <w:r>
        <w:rPr>
          <w:rFonts w:hint="eastAsia" w:ascii="Times New Roman" w:hAnsi="Times New Roman" w:eastAsia="宋体" w:cs="Times New Roman"/>
          <w:sz w:val="24"/>
          <w:szCs w:val="21"/>
        </w:rPr>
        <w:t>；</w:t>
      </w:r>
    </w:p>
    <w:p>
      <w:pPr>
        <w:numPr>
          <w:ilvl w:val="0"/>
          <w:numId w:val="1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每个通道软件上可以配置为数字输出、PWM输出；</w:t>
      </w:r>
    </w:p>
    <w:p>
      <w:pPr>
        <w:numPr>
          <w:ilvl w:val="0"/>
          <w:numId w:val="1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输出频率范围：0.5Hz~1</w:t>
      </w:r>
      <w:r>
        <w:rPr>
          <w:rFonts w:ascii="Times New Roman" w:hAnsi="Times New Roman" w:eastAsia="宋体" w:cs="Times New Roman"/>
          <w:sz w:val="24"/>
          <w:szCs w:val="21"/>
        </w:rPr>
        <w:t>00</w:t>
      </w:r>
      <w:r>
        <w:rPr>
          <w:rFonts w:hint="eastAsia" w:ascii="Times New Roman" w:hAnsi="Times New Roman" w:eastAsia="宋体" w:cs="Times New Roman"/>
          <w:sz w:val="24"/>
          <w:szCs w:val="21"/>
        </w:rPr>
        <w:t>kHz；</w:t>
      </w:r>
    </w:p>
    <w:p>
      <w:pPr>
        <w:numPr>
          <w:ilvl w:val="0"/>
          <w:numId w:val="19"/>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过压保护范围</w:t>
      </w:r>
      <w:r>
        <w:rPr>
          <w:rFonts w:hint="eastAsia" w:ascii="Times New Roman" w:hAnsi="Times New Roman" w:eastAsia="宋体" w:cs="Times New Roman"/>
          <w:sz w:val="24"/>
          <w:szCs w:val="21"/>
        </w:rPr>
        <w:t>：0</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numPr>
          <w:ilvl w:val="0"/>
          <w:numId w:val="19"/>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100kHz以内，输出频率误差≤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0.25%；</w:t>
      </w:r>
    </w:p>
    <w:p>
      <w:pPr>
        <w:numPr>
          <w:ilvl w:val="0"/>
          <w:numId w:val="19"/>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w:t>
      </w:r>
      <w:r>
        <w:rPr>
          <w:rFonts w:ascii="Times New Roman" w:hAnsi="Times New Roman" w:eastAsia="宋体" w:cs="Times New Roman"/>
          <w:color w:val="000000"/>
          <w:sz w:val="24"/>
          <w:szCs w:val="21"/>
        </w:rPr>
        <w:t>15</w:t>
      </w:r>
      <w:r>
        <w:rPr>
          <w:rFonts w:hint="eastAsia" w:ascii="Times New Roman" w:hAnsi="Times New Roman" w:eastAsia="宋体" w:cs="Times New Roman"/>
          <w:color w:val="000000"/>
          <w:sz w:val="24"/>
          <w:szCs w:val="21"/>
        </w:rPr>
        <w:t>%~</w:t>
      </w:r>
      <w:r>
        <w:rPr>
          <w:rFonts w:ascii="Times New Roman" w:hAnsi="Times New Roman" w:eastAsia="宋体" w:cs="Times New Roman"/>
          <w:color w:val="000000"/>
          <w:sz w:val="24"/>
          <w:szCs w:val="21"/>
        </w:rPr>
        <w:t>85</w:t>
      </w:r>
      <w:r>
        <w:rPr>
          <w:rFonts w:hint="eastAsia" w:ascii="Times New Roman" w:hAnsi="Times New Roman" w:eastAsia="宋体" w:cs="Times New Roman"/>
          <w:color w:val="000000"/>
          <w:sz w:val="24"/>
          <w:szCs w:val="21"/>
        </w:rPr>
        <w:t>%的占空比区间内，占空比绝对误差≤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w:t>
      </w:r>
      <w:r>
        <w:rPr>
          <w:rFonts w:ascii="Times New Roman" w:hAnsi="Times New Roman" w:eastAsia="宋体" w:cs="Times New Roman"/>
          <w:color w:val="000000"/>
          <w:sz w:val="24"/>
          <w:szCs w:val="21"/>
        </w:rPr>
        <w:t>5</w:t>
      </w:r>
      <w:r>
        <w:rPr>
          <w:rFonts w:hint="eastAsia" w:ascii="Times New Roman" w:hAnsi="Times New Roman" w:eastAsia="宋体" w:cs="Times New Roman"/>
          <w:color w:val="000000"/>
          <w:sz w:val="24"/>
          <w:szCs w:val="21"/>
        </w:rPr>
        <w:t>%。</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3.3.5电阻输出通道</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电阻输出范围：5ohm~</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Mohm，步进1ohm；</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精度：＞20</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欧姆，输出设定值的0.1%；≤20</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欧姆，误差≤2Ω</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通道限制电压范围：±30V；</w:t>
      </w:r>
    </w:p>
    <w:p>
      <w:pPr>
        <w:pStyle w:val="129"/>
        <w:numPr>
          <w:ilvl w:val="0"/>
          <w:numId w:val="20"/>
        </w:numPr>
        <w:spacing w:line="360" w:lineRule="auto"/>
        <w:ind w:firstLineChars="0"/>
        <w:rPr>
          <w:rFonts w:ascii="Times New Roman" w:hAnsi="Times New Roman" w:eastAsia="宋体" w:cs="Times New Roman"/>
          <w:sz w:val="24"/>
          <w:szCs w:val="21"/>
        </w:rPr>
      </w:pPr>
      <w:r>
        <w:rPr>
          <w:rFonts w:hint="eastAsia" w:ascii="Times New Roman" w:hAnsi="Times New Roman" w:eastAsia="宋体" w:cs="Times New Roman"/>
          <w:sz w:val="24"/>
          <w:szCs w:val="21"/>
        </w:rPr>
        <w:t>具有过流保护能力，电流保护范围±50mA</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3.3.6轮速仿真板卡技术要求</w:t>
      </w:r>
    </w:p>
    <w:p>
      <w:pPr>
        <w:spacing w:line="360" w:lineRule="auto"/>
        <w:ind w:firstLine="480" w:firstLineChars="200"/>
        <w:rPr>
          <w:rFonts w:ascii="Times New Roman" w:hAnsi="Times New Roman" w:eastAsia="宋体" w:cs="Times New Roman"/>
          <w:sz w:val="24"/>
          <w:szCs w:val="21"/>
        </w:rPr>
      </w:pPr>
      <w:bookmarkStart w:id="50" w:name="_Hlk150874775"/>
      <w:r>
        <w:rPr>
          <w:rFonts w:hint="eastAsia" w:ascii="Times New Roman" w:hAnsi="Times New Roman" w:eastAsia="宋体" w:cs="Times New Roman"/>
          <w:sz w:val="24"/>
          <w:szCs w:val="21"/>
        </w:rPr>
        <w:t>每个通道要求可以通过软件配置输出信号类型，至少支持如下轮速传感器的模拟；</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被动型传感器，正弦波模拟输出信号（型号：“DF6”）；</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主动型传感器，电流接口的数字传感器，2种电流等级（型号：“DF10”）；</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主动型传感器，电流接口的数字传感器，3种电流等级，反向/正向编码（型号：“DF10-RotDir”）；</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主动型传感器，电流接口的数字传感器，2种电流等级及附加信息（ 型号：“DF11i”）；</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主动型传感器，电流接口的数字传感器，3种电流等级及附加信息（型号：“VDA”)；</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要求支持轮速的故障模拟，如电流值超限，缺齿等故障；</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正弦波电压输出范围≥</w:t>
      </w:r>
      <w:r>
        <w:rPr>
          <w:rFonts w:ascii="Times New Roman" w:hAnsi="Times New Roman" w:eastAsia="宋体" w:cs="Times New Roman"/>
          <w:sz w:val="24"/>
          <w:szCs w:val="24"/>
        </w:rPr>
        <w:t>±</w:t>
      </w:r>
      <w:r>
        <w:rPr>
          <w:rFonts w:hint="eastAsia" w:ascii="Times New Roman" w:hAnsi="Times New Roman" w:eastAsia="宋体" w:cs="Times New Roman"/>
          <w:sz w:val="24"/>
          <w:szCs w:val="24"/>
        </w:rPr>
        <w:t>10V，电流范围≥</w:t>
      </w:r>
      <w:r>
        <w:rPr>
          <w:rFonts w:ascii="Times New Roman" w:hAnsi="Times New Roman" w:eastAsia="宋体" w:cs="Times New Roman"/>
          <w:sz w:val="24"/>
          <w:szCs w:val="24"/>
        </w:rPr>
        <w:t>±</w:t>
      </w:r>
      <w:r>
        <w:rPr>
          <w:rFonts w:hint="eastAsia" w:ascii="Times New Roman" w:hAnsi="Times New Roman" w:eastAsia="宋体" w:cs="Times New Roman"/>
          <w:sz w:val="24"/>
          <w:szCs w:val="24"/>
        </w:rPr>
        <w:t>5mA，带过流保护功能；</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要求电流型信号输出范围0~30mA；</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要求支持过压保护，保护范围≥</w:t>
      </w:r>
      <w:r>
        <w:rPr>
          <w:rFonts w:ascii="Times New Roman" w:hAnsi="Times New Roman" w:eastAsia="宋体" w:cs="Times New Roman"/>
          <w:sz w:val="24"/>
          <w:szCs w:val="24"/>
        </w:rPr>
        <w:t>±</w:t>
      </w:r>
      <w:r>
        <w:rPr>
          <w:rFonts w:hint="eastAsia" w:ascii="Times New Roman" w:hAnsi="Times New Roman" w:eastAsia="宋体" w:cs="Times New Roman"/>
          <w:sz w:val="24"/>
          <w:szCs w:val="24"/>
        </w:rPr>
        <w:t>60V。</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3.3.7电流采集板卡技术要求</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支持最大采集电流≥±10A；</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每个通道均带保险丝；</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电流采集精度≥满量程0.5%+150mA。</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3.3.8 电感型位置传感器</w:t>
      </w:r>
    </w:p>
    <w:p>
      <w:pPr>
        <w:pStyle w:val="2"/>
      </w:pPr>
      <w:r>
        <w:rPr>
          <w:rFonts w:hint="eastAsia"/>
          <w:highlight w:val="yellow"/>
        </w:rPr>
        <w:t>需要模拟以下不同的电感特性：</w:t>
      </w:r>
    </w:p>
    <w:p>
      <w:pPr>
        <w:pStyle w:val="2"/>
      </w:pPr>
      <w:r>
        <w:rPr>
          <w:rFonts w:hint="eastAsia" w:ascii="宋体" w:hAnsi="宋体" w:cs="宋体"/>
          <w:sz w:val="24"/>
          <w:szCs w:val="24"/>
        </w:rPr>
        <w:drawing>
          <wp:inline distT="0" distB="0" distL="114300" distR="114300">
            <wp:extent cx="3070860" cy="715010"/>
            <wp:effectExtent l="0" t="0" r="15240" b="8890"/>
            <wp:docPr id="1418361931" name="图片 141836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61931" name="图片 1418361931"/>
                    <pic:cNvPicPr>
                      <a:picLocks noChangeAspect="1"/>
                    </pic:cNvPicPr>
                  </pic:nvPicPr>
                  <pic:blipFill>
                    <a:blip r:embed="rId44"/>
                    <a:stretch>
                      <a:fillRect/>
                    </a:stretch>
                  </pic:blipFill>
                  <pic:spPr>
                    <a:xfrm>
                      <a:off x="0" y="0"/>
                      <a:ext cx="3070860" cy="715010"/>
                    </a:xfrm>
                    <a:prstGeom prst="rect">
                      <a:avLst/>
                    </a:prstGeom>
                    <a:noFill/>
                    <a:ln>
                      <a:noFill/>
                    </a:ln>
                  </pic:spPr>
                </pic:pic>
              </a:graphicData>
            </a:graphic>
          </wp:inline>
        </w:drawing>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3.3.9 磁电型霍尔传感器</w:t>
      </w:r>
    </w:p>
    <w:p>
      <w:pPr>
        <w:pStyle w:val="2"/>
      </w:pPr>
      <w:r>
        <w:rPr>
          <w:rFonts w:hint="eastAsia"/>
        </w:rPr>
        <w:t>支持方波信号输出，幅值和频率信号可调：</w:t>
      </w:r>
    </w:p>
    <w:p>
      <w:pPr>
        <w:pStyle w:val="2"/>
        <w:numPr>
          <w:ilvl w:val="0"/>
          <w:numId w:val="21"/>
        </w:numPr>
      </w:pPr>
      <w:r>
        <w:rPr>
          <w:rFonts w:hint="eastAsia"/>
        </w:rPr>
        <w:t>幅值：±15V；</w:t>
      </w:r>
    </w:p>
    <w:p>
      <w:pPr>
        <w:pStyle w:val="2"/>
        <w:numPr>
          <w:ilvl w:val="0"/>
          <w:numId w:val="21"/>
        </w:numPr>
      </w:pPr>
      <w:r>
        <w:rPr>
          <w:rFonts w:hint="eastAsia"/>
        </w:rPr>
        <w:t>输出频率范围：0.001Hz-100KHz；</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3.3.10 霍尔电流型传感器</w:t>
      </w:r>
    </w:p>
    <w:p>
      <w:pPr>
        <w:pStyle w:val="2"/>
      </w:pPr>
      <w:r>
        <w:rPr>
          <w:rFonts w:hint="eastAsia"/>
        </w:rPr>
        <w:t>可以根据设定的参数输出对应的PWM波，并且波形的电流大小可设定，并支持底边驱动和高边驱动的切换，具体参数如下：</w:t>
      </w:r>
    </w:p>
    <w:p>
      <w:pPr>
        <w:pStyle w:val="2"/>
        <w:numPr>
          <w:ilvl w:val="0"/>
          <w:numId w:val="22"/>
        </w:numPr>
      </w:pPr>
      <w:r>
        <w:rPr>
          <w:rFonts w:hint="eastAsia"/>
        </w:rPr>
        <w:t>输出频率：0.02Hz-1Mhz；</w:t>
      </w:r>
    </w:p>
    <w:p>
      <w:pPr>
        <w:pStyle w:val="2"/>
        <w:numPr>
          <w:ilvl w:val="0"/>
          <w:numId w:val="22"/>
        </w:numPr>
      </w:pPr>
      <w:r>
        <w:rPr>
          <w:rFonts w:hint="eastAsia"/>
        </w:rPr>
        <w:t>电流幅值：-150mA-150mA;</w:t>
      </w:r>
    </w:p>
    <w:bookmarkEnd w:id="50"/>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3.5总线通讯板卡技术要求</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3.5.1CAN/CANFD通道技术要求</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CAN2.0A</w:t>
      </w:r>
      <w:r>
        <w:rPr>
          <w:rFonts w:hint="eastAsia" w:ascii="Times New Roman" w:hAnsi="Times New Roman" w:eastAsia="宋体" w:cs="Times New Roman"/>
          <w:sz w:val="24"/>
          <w:szCs w:val="21"/>
        </w:rPr>
        <w:t>、</w:t>
      </w:r>
      <w:r>
        <w:rPr>
          <w:rFonts w:ascii="Times New Roman" w:hAnsi="Times New Roman" w:eastAsia="宋体" w:cs="Times New Roman"/>
          <w:sz w:val="24"/>
          <w:szCs w:val="21"/>
        </w:rPr>
        <w:t>CAN2.0B</w:t>
      </w:r>
      <w:r>
        <w:rPr>
          <w:rFonts w:hint="eastAsia" w:ascii="Times New Roman" w:hAnsi="Times New Roman" w:eastAsia="宋体" w:cs="Times New Roman"/>
          <w:sz w:val="24"/>
          <w:szCs w:val="21"/>
        </w:rPr>
        <w:t>以及CANFD；</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波特率：≥4</w:t>
      </w:r>
      <w:r>
        <w:rPr>
          <w:rFonts w:ascii="Times New Roman" w:hAnsi="Times New Roman" w:eastAsia="宋体" w:cs="Times New Roman"/>
          <w:sz w:val="24"/>
          <w:szCs w:val="21"/>
        </w:rPr>
        <w:t>Mbps</w:t>
      </w:r>
      <w:r>
        <w:rPr>
          <w:rFonts w:hint="eastAsia" w:ascii="Times New Roman" w:hAnsi="Times New Roman" w:eastAsia="宋体" w:cs="Times New Roman"/>
          <w:sz w:val="24"/>
          <w:szCs w:val="21"/>
        </w:rPr>
        <w:t>，可配置；</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.dbc</w:t>
      </w:r>
      <w:r>
        <w:rPr>
          <w:rFonts w:hint="eastAsia" w:ascii="Times New Roman" w:hAnsi="Times New Roman" w:eastAsia="宋体" w:cs="Times New Roman"/>
          <w:sz w:val="24"/>
          <w:szCs w:val="21"/>
        </w:rPr>
        <w:t>数据库文件的导入；</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可配置终端电阻。</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3.5.2 LIN通道技术要求</w:t>
      </w:r>
    </w:p>
    <w:p>
      <w:pPr>
        <w:numPr>
          <w:ilvl w:val="0"/>
          <w:numId w:val="24"/>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LIN1.3</w:t>
      </w:r>
      <w:r>
        <w:rPr>
          <w:rFonts w:hint="eastAsia" w:ascii="Times New Roman" w:hAnsi="Times New Roman" w:eastAsia="宋体" w:cs="Times New Roman"/>
          <w:sz w:val="24"/>
          <w:szCs w:val="21"/>
        </w:rPr>
        <w:t>、</w:t>
      </w:r>
      <w:r>
        <w:rPr>
          <w:rFonts w:ascii="Times New Roman" w:hAnsi="Times New Roman" w:eastAsia="宋体" w:cs="Times New Roman"/>
          <w:sz w:val="24"/>
          <w:szCs w:val="21"/>
        </w:rPr>
        <w:t>2.0</w:t>
      </w:r>
      <w:r>
        <w:rPr>
          <w:rFonts w:hint="eastAsia" w:ascii="Times New Roman" w:hAnsi="Times New Roman" w:eastAsia="宋体" w:cs="Times New Roman"/>
          <w:sz w:val="24"/>
          <w:szCs w:val="21"/>
        </w:rPr>
        <w:t>、</w:t>
      </w:r>
      <w:r>
        <w:rPr>
          <w:rFonts w:ascii="Times New Roman" w:hAnsi="Times New Roman" w:eastAsia="宋体" w:cs="Times New Roman"/>
          <w:sz w:val="24"/>
          <w:szCs w:val="21"/>
        </w:rPr>
        <w:t>2.1标准协议</w:t>
      </w:r>
      <w:r>
        <w:rPr>
          <w:rFonts w:hint="eastAsia" w:ascii="Times New Roman" w:hAnsi="Times New Roman" w:eastAsia="宋体" w:cs="Times New Roman"/>
          <w:sz w:val="24"/>
          <w:szCs w:val="21"/>
        </w:rPr>
        <w:t>；</w:t>
      </w:r>
    </w:p>
    <w:p>
      <w:pPr>
        <w:numPr>
          <w:ilvl w:val="0"/>
          <w:numId w:val="24"/>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波特率</w:t>
      </w:r>
      <w:r>
        <w:rPr>
          <w:rFonts w:ascii="Times New Roman" w:hAnsi="Times New Roman" w:eastAsia="宋体" w:cs="Times New Roman"/>
          <w:sz w:val="24"/>
          <w:szCs w:val="21"/>
        </w:rPr>
        <w:t xml:space="preserve"> ≥20kbit/s</w:t>
      </w:r>
      <w:r>
        <w:rPr>
          <w:rFonts w:hint="eastAsia" w:ascii="Times New Roman" w:hAnsi="Times New Roman" w:eastAsia="宋体" w:cs="Times New Roman"/>
          <w:sz w:val="24"/>
          <w:szCs w:val="21"/>
        </w:rPr>
        <w:t>，</w:t>
      </w:r>
      <w:r>
        <w:rPr>
          <w:rFonts w:ascii="Times New Roman" w:hAnsi="Times New Roman" w:eastAsia="宋体" w:cs="Times New Roman"/>
          <w:sz w:val="24"/>
          <w:szCs w:val="21"/>
        </w:rPr>
        <w:t>可软件配置</w:t>
      </w:r>
      <w:r>
        <w:rPr>
          <w:rFonts w:hint="eastAsia" w:ascii="Times New Roman" w:hAnsi="Times New Roman" w:eastAsia="宋体" w:cs="Times New Roman"/>
          <w:sz w:val="24"/>
          <w:szCs w:val="21"/>
        </w:rPr>
        <w:t>；</w:t>
      </w:r>
    </w:p>
    <w:p>
      <w:pPr>
        <w:numPr>
          <w:ilvl w:val="0"/>
          <w:numId w:val="24"/>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支持.ldf数据库文件的导入</w:t>
      </w:r>
      <w:r>
        <w:rPr>
          <w:rFonts w:hint="eastAsia" w:ascii="Times New Roman" w:hAnsi="Times New Roman" w:eastAsia="宋体" w:cs="Times New Roman"/>
          <w:sz w:val="24"/>
          <w:szCs w:val="21"/>
        </w:rPr>
        <w:t>；</w:t>
      </w:r>
    </w:p>
    <w:p>
      <w:pPr>
        <w:numPr>
          <w:ilvl w:val="0"/>
          <w:numId w:val="24"/>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支持主从模式。</w:t>
      </w:r>
    </w:p>
    <w:p>
      <w:pPr>
        <w:spacing w:line="360" w:lineRule="auto"/>
        <w:outlineLvl w:val="3"/>
        <w:rPr>
          <w:rFonts w:ascii="Times New Roman" w:hAnsi="Times New Roman" w:eastAsia="宋体" w:cs="Times New Roman"/>
          <w:b/>
          <w:bCs/>
          <w:sz w:val="24"/>
          <w:szCs w:val="24"/>
        </w:rPr>
      </w:pPr>
      <w:bookmarkStart w:id="51" w:name="_Toc36027014"/>
      <w:r>
        <w:rPr>
          <w:rFonts w:hint="eastAsia" w:ascii="Times New Roman" w:hAnsi="Times New Roman" w:eastAsia="宋体" w:cs="Times New Roman"/>
          <w:b/>
          <w:bCs/>
          <w:sz w:val="24"/>
          <w:szCs w:val="24"/>
        </w:rPr>
        <w:t>3.6 ECU供电</w:t>
      </w:r>
      <w:bookmarkEnd w:id="51"/>
      <w:r>
        <w:rPr>
          <w:rFonts w:hint="eastAsia" w:ascii="Times New Roman" w:hAnsi="Times New Roman" w:eastAsia="宋体" w:cs="Times New Roman"/>
          <w:b/>
          <w:bCs/>
          <w:sz w:val="24"/>
          <w:szCs w:val="24"/>
        </w:rPr>
        <w:t>技术要求</w:t>
      </w:r>
    </w:p>
    <w:p>
      <w:pPr>
        <w:spacing w:line="360" w:lineRule="auto"/>
        <w:outlineLvl w:val="4"/>
        <w:rPr>
          <w:rFonts w:ascii="Times New Roman" w:hAnsi="Times New Roman" w:eastAsia="宋体" w:cs="Times New Roman"/>
          <w:sz w:val="24"/>
          <w:szCs w:val="24"/>
        </w:rPr>
      </w:pPr>
      <w:bookmarkStart w:id="52" w:name="_Hlk80452978"/>
      <w:bookmarkStart w:id="53" w:name="_Toc36027019"/>
      <w:bookmarkStart w:id="54" w:name="_Toc485309591"/>
      <w:bookmarkStart w:id="55" w:name="_Toc529835863"/>
      <w:bookmarkStart w:id="56" w:name="_Toc497603326"/>
      <w:r>
        <w:rPr>
          <w:rFonts w:hint="eastAsia" w:ascii="Times New Roman" w:hAnsi="Times New Roman" w:eastAsia="宋体" w:cs="Times New Roman"/>
          <w:sz w:val="24"/>
          <w:szCs w:val="24"/>
        </w:rPr>
        <w:t>3.6.1低压可编程电源1技术要求</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数量：5</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功率范围：≥</w:t>
      </w:r>
      <w:r>
        <w:rPr>
          <w:rFonts w:hint="eastAsia" w:ascii="Times New Roman" w:hAnsi="Times New Roman" w:eastAsia="宋体" w:cs="Times New Roman"/>
          <w:sz w:val="24"/>
          <w:szCs w:val="21"/>
        </w:rPr>
        <w:t>12</w:t>
      </w:r>
      <w:r>
        <w:rPr>
          <w:rFonts w:ascii="Times New Roman" w:hAnsi="Times New Roman" w:eastAsia="宋体" w:cs="Times New Roman"/>
          <w:sz w:val="24"/>
          <w:szCs w:val="21"/>
        </w:rPr>
        <w:t>00W；</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输出电压范围：≥</w:t>
      </w:r>
      <w:r>
        <w:rPr>
          <w:rFonts w:hint="eastAsia" w:ascii="Times New Roman" w:hAnsi="Times New Roman" w:eastAsia="宋体" w:cs="Times New Roman"/>
          <w:sz w:val="24"/>
          <w:szCs w:val="21"/>
        </w:rPr>
        <w:t>8</w:t>
      </w:r>
      <w:r>
        <w:rPr>
          <w:rFonts w:ascii="Times New Roman" w:hAnsi="Times New Roman" w:eastAsia="宋体" w:cs="Times New Roman"/>
          <w:sz w:val="24"/>
          <w:szCs w:val="21"/>
        </w:rPr>
        <w:t>0V；</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输出电流范围：≥</w:t>
      </w:r>
      <w:r>
        <w:rPr>
          <w:rFonts w:hint="eastAsia" w:ascii="Times New Roman" w:hAnsi="Times New Roman" w:eastAsia="宋体" w:cs="Times New Roman"/>
          <w:sz w:val="24"/>
          <w:szCs w:val="21"/>
        </w:rPr>
        <w:t>6</w:t>
      </w:r>
      <w:r>
        <w:rPr>
          <w:rFonts w:ascii="Times New Roman" w:hAnsi="Times New Roman" w:eastAsia="宋体" w:cs="Times New Roman"/>
          <w:sz w:val="24"/>
          <w:szCs w:val="21"/>
        </w:rPr>
        <w:t>0A；</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接口：</w:t>
      </w:r>
      <w:r>
        <w:rPr>
          <w:rFonts w:ascii="Times New Roman" w:hAnsi="Times New Roman" w:eastAsia="宋体" w:cs="Times New Roman"/>
          <w:sz w:val="24"/>
          <w:szCs w:val="21"/>
        </w:rPr>
        <w:t>USB/RS232/CAN/LAN</w:t>
      </w:r>
      <w:r>
        <w:rPr>
          <w:rFonts w:hint="eastAsia" w:ascii="Times New Roman" w:hAnsi="Times New Roman" w:eastAsia="宋体" w:cs="Times New Roman"/>
          <w:sz w:val="24"/>
          <w:szCs w:val="21"/>
        </w:rPr>
        <w:t>，</w:t>
      </w:r>
      <w:r>
        <w:rPr>
          <w:rFonts w:ascii="Times New Roman" w:hAnsi="Times New Roman" w:eastAsia="宋体" w:cs="Times New Roman"/>
          <w:sz w:val="24"/>
          <w:szCs w:val="21"/>
        </w:rPr>
        <w:t>可由上位机软件控制电源输出；</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精度：</w:t>
      </w:r>
      <w:r>
        <w:rPr>
          <w:rFonts w:ascii="Times New Roman" w:hAnsi="Times New Roman" w:eastAsia="宋体" w:cs="Times New Roman"/>
          <w:sz w:val="24"/>
          <w:szCs w:val="21"/>
        </w:rPr>
        <w:t>≤0.0</w:t>
      </w:r>
      <w:r>
        <w:rPr>
          <w:rFonts w:hint="eastAsia" w:ascii="Times New Roman" w:hAnsi="Times New Roman" w:eastAsia="宋体" w:cs="Times New Roman"/>
          <w:sz w:val="24"/>
          <w:szCs w:val="21"/>
        </w:rPr>
        <w:t>2</w:t>
      </w:r>
      <w:r>
        <w:rPr>
          <w:rFonts w:ascii="Times New Roman" w:hAnsi="Times New Roman" w:eastAsia="宋体" w:cs="Times New Roman"/>
          <w:sz w:val="24"/>
          <w:szCs w:val="21"/>
        </w:rPr>
        <w:t>%+30mV ≤0.</w:t>
      </w:r>
      <w:r>
        <w:rPr>
          <w:rFonts w:hint="eastAsia" w:ascii="Times New Roman" w:hAnsi="Times New Roman" w:eastAsia="宋体" w:cs="Times New Roman"/>
          <w:sz w:val="24"/>
          <w:szCs w:val="21"/>
        </w:rPr>
        <w:t>1</w:t>
      </w:r>
      <w:r>
        <w:rPr>
          <w:rFonts w:ascii="Times New Roman" w:hAnsi="Times New Roman" w:eastAsia="宋体" w:cs="Times New Roman"/>
          <w:sz w:val="24"/>
          <w:szCs w:val="21"/>
        </w:rPr>
        <w:t>%+</w:t>
      </w:r>
      <w:r>
        <w:rPr>
          <w:rFonts w:ascii="Arial" w:hAnsi="Arial" w:cs="Arial"/>
          <w:color w:val="333333"/>
          <w:sz w:val="18"/>
          <w:szCs w:val="18"/>
          <w:shd w:val="clear" w:color="auto" w:fill="EFEFEF"/>
        </w:rPr>
        <w:t xml:space="preserve"> </w:t>
      </w:r>
      <w:r>
        <w:rPr>
          <w:rFonts w:ascii="Times New Roman" w:hAnsi="Times New Roman" w:eastAsia="宋体" w:cs="Times New Roman"/>
          <w:sz w:val="24"/>
          <w:szCs w:val="21"/>
        </w:rPr>
        <w:t>0.1%FS</w:t>
      </w:r>
      <w:r>
        <w:rPr>
          <w:rFonts w:hint="eastAsia" w:ascii="Times New Roman" w:hAnsi="Times New Roman" w:eastAsia="宋体" w:cs="Times New Roman"/>
          <w:sz w:val="24"/>
          <w:szCs w:val="21"/>
        </w:rPr>
        <w:t>；</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支持各种模式（CV/CC/CP），边沿独立设定，上升和下降时间可调；</w:t>
      </w:r>
    </w:p>
    <w:p>
      <w:pPr>
        <w:numPr>
          <w:ilvl w:val="0"/>
          <w:numId w:val="25"/>
        </w:numPr>
        <w:spacing w:line="360" w:lineRule="auto"/>
      </w:pPr>
      <w:r>
        <w:rPr>
          <w:rFonts w:ascii="Times New Roman" w:hAnsi="Times New Roman" w:eastAsia="宋体" w:cs="Times New Roman"/>
          <w:sz w:val="24"/>
          <w:szCs w:val="21"/>
        </w:rPr>
        <w:t>具备自我保护功能。</w:t>
      </w:r>
    </w:p>
    <w:bookmarkEnd w:id="52"/>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3.6.2 低压可编程电源2技术要求</w:t>
      </w:r>
      <w:bookmarkEnd w:id="53"/>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数量：1</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功率范围：≥</w:t>
      </w:r>
      <w:r>
        <w:rPr>
          <w:rFonts w:hint="eastAsia" w:ascii="Times New Roman" w:hAnsi="Times New Roman" w:eastAsia="宋体" w:cs="Times New Roman"/>
          <w:sz w:val="24"/>
          <w:szCs w:val="21"/>
          <w:lang w:val="en-US" w:eastAsia="zh-CN"/>
        </w:rPr>
        <w:t>25</w:t>
      </w:r>
      <w:r>
        <w:rPr>
          <w:rFonts w:ascii="Times New Roman" w:hAnsi="Times New Roman" w:eastAsia="宋体" w:cs="Times New Roman"/>
          <w:sz w:val="24"/>
          <w:szCs w:val="21"/>
        </w:rPr>
        <w:t>00W；</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输出电压范围：≥</w:t>
      </w:r>
      <w:r>
        <w:rPr>
          <w:rFonts w:hint="eastAsia" w:ascii="Times New Roman" w:hAnsi="Times New Roman" w:eastAsia="宋体" w:cs="Times New Roman"/>
          <w:sz w:val="24"/>
          <w:szCs w:val="21"/>
        </w:rPr>
        <w:t>8</w:t>
      </w:r>
      <w:r>
        <w:rPr>
          <w:rFonts w:ascii="Times New Roman" w:hAnsi="Times New Roman" w:eastAsia="宋体" w:cs="Times New Roman"/>
          <w:sz w:val="24"/>
          <w:szCs w:val="21"/>
        </w:rPr>
        <w:t>0V；</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输出电流范围：</w:t>
      </w:r>
      <w:r>
        <w:rPr>
          <w:rFonts w:hint="eastAsia" w:ascii="Times New Roman" w:hAnsi="Times New Roman" w:eastAsia="宋体" w:cs="Times New Roman"/>
          <w:sz w:val="24"/>
          <w:szCs w:val="21"/>
        </w:rPr>
        <w:t>±8</w:t>
      </w:r>
      <w:r>
        <w:rPr>
          <w:rFonts w:ascii="Times New Roman" w:hAnsi="Times New Roman" w:eastAsia="宋体" w:cs="Times New Roman"/>
          <w:sz w:val="24"/>
          <w:szCs w:val="21"/>
        </w:rPr>
        <w:t>0A；</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接口：</w:t>
      </w:r>
      <w:r>
        <w:rPr>
          <w:rFonts w:ascii="Times New Roman" w:hAnsi="Times New Roman" w:eastAsia="宋体" w:cs="Times New Roman"/>
          <w:sz w:val="24"/>
          <w:szCs w:val="21"/>
        </w:rPr>
        <w:t>USB/CAN/LAN/数字I/O口</w:t>
      </w:r>
      <w:r>
        <w:rPr>
          <w:rFonts w:hint="eastAsia" w:ascii="Times New Roman" w:hAnsi="Times New Roman" w:eastAsia="宋体" w:cs="Times New Roman"/>
          <w:sz w:val="24"/>
          <w:szCs w:val="21"/>
        </w:rPr>
        <w:t>，</w:t>
      </w:r>
      <w:r>
        <w:rPr>
          <w:rFonts w:ascii="Times New Roman" w:hAnsi="Times New Roman" w:eastAsia="宋体" w:cs="Times New Roman"/>
          <w:sz w:val="24"/>
          <w:szCs w:val="21"/>
        </w:rPr>
        <w:t>可由上位机软件控制电源输出；</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分辨率：</w:t>
      </w:r>
      <w:r>
        <w:rPr>
          <w:rFonts w:ascii="Times New Roman" w:hAnsi="Times New Roman" w:eastAsia="宋体" w:cs="Times New Roman"/>
          <w:sz w:val="24"/>
          <w:szCs w:val="21"/>
        </w:rPr>
        <w:t>1mV/10mA</w:t>
      </w:r>
      <w:r>
        <w:rPr>
          <w:rFonts w:hint="eastAsia" w:ascii="Times New Roman" w:hAnsi="Times New Roman" w:eastAsia="宋体" w:cs="Times New Roman"/>
          <w:sz w:val="24"/>
          <w:szCs w:val="21"/>
        </w:rPr>
        <w:t>；</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精度：</w:t>
      </w:r>
      <w:r>
        <w:rPr>
          <w:rFonts w:ascii="Times New Roman" w:hAnsi="Times New Roman" w:eastAsia="宋体" w:cs="Times New Roman"/>
          <w:sz w:val="24"/>
          <w:szCs w:val="21"/>
        </w:rPr>
        <w:t>≤0.03% + 0.03%FS / ≤0.1% + 0.1%FS</w:t>
      </w:r>
      <w:r>
        <w:rPr>
          <w:rFonts w:hint="eastAsia" w:ascii="Times New Roman" w:hAnsi="Times New Roman" w:eastAsia="宋体" w:cs="Times New Roman"/>
          <w:sz w:val="24"/>
          <w:szCs w:val="21"/>
        </w:rPr>
        <w:t>；</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支持各种模式（CV/CC/CP），边沿独立设定，上升和下降时间可调；</w:t>
      </w:r>
    </w:p>
    <w:p>
      <w:pPr>
        <w:numPr>
          <w:ilvl w:val="0"/>
          <w:numId w:val="25"/>
        </w:numPr>
        <w:spacing w:line="360" w:lineRule="auto"/>
      </w:pPr>
      <w:r>
        <w:rPr>
          <w:rFonts w:ascii="Times New Roman" w:hAnsi="Times New Roman" w:eastAsia="宋体" w:cs="Times New Roman"/>
          <w:sz w:val="24"/>
          <w:szCs w:val="21"/>
        </w:rPr>
        <w:t>具备自我保护功能。</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3.6.3 供电管理板卡</w:t>
      </w:r>
    </w:p>
    <w:p>
      <w:pPr>
        <w:numPr>
          <w:ilvl w:val="0"/>
          <w:numId w:val="2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可以模拟如KL30、KL15等ECU所需的供电；</w:t>
      </w:r>
    </w:p>
    <w:p>
      <w:pPr>
        <w:numPr>
          <w:ilvl w:val="0"/>
          <w:numId w:val="2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支持双电压输入，输出电压可以在两个输入电压之间选择；</w:t>
      </w:r>
    </w:p>
    <w:p>
      <w:pPr>
        <w:numPr>
          <w:ilvl w:val="0"/>
          <w:numId w:val="2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提供至少3个大电流开关输出通道，允许持续电流30A；</w:t>
      </w:r>
    </w:p>
    <w:bookmarkEnd w:id="54"/>
    <w:bookmarkEnd w:id="55"/>
    <w:bookmarkEnd w:id="56"/>
    <w:p>
      <w:pPr>
        <w:spacing w:line="360" w:lineRule="auto"/>
        <w:outlineLvl w:val="3"/>
        <w:rPr>
          <w:rFonts w:ascii="Times New Roman" w:hAnsi="Times New Roman" w:eastAsia="宋体" w:cs="Times New Roman"/>
          <w:b/>
          <w:bCs/>
          <w:sz w:val="24"/>
          <w:szCs w:val="24"/>
        </w:rPr>
      </w:pPr>
      <w:bookmarkStart w:id="57" w:name="_Toc36027020"/>
      <w:r>
        <w:rPr>
          <w:rFonts w:hint="eastAsia" w:ascii="Times New Roman" w:hAnsi="Times New Roman" w:eastAsia="宋体" w:cs="Times New Roman"/>
          <w:b/>
          <w:bCs/>
          <w:sz w:val="24"/>
          <w:szCs w:val="24"/>
        </w:rPr>
        <w:t>3.6故障注入技术要求</w:t>
      </w:r>
      <w:bookmarkEnd w:id="57"/>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3.6.1通用故障注入技术要求</w:t>
      </w:r>
    </w:p>
    <w:p>
      <w:pPr>
        <w:numPr>
          <w:ilvl w:val="0"/>
          <w:numId w:val="27"/>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支持最大持续电流：</w:t>
      </w:r>
      <w:r>
        <w:rPr>
          <w:rFonts w:hint="eastAsia" w:ascii="Times New Roman" w:hAnsi="Times New Roman" w:eastAsia="宋体" w:cs="Times New Roman"/>
          <w:sz w:val="24"/>
          <w:szCs w:val="21"/>
          <w:lang w:val="en-US" w:eastAsia="zh-CN"/>
        </w:rPr>
        <w:t>8</w:t>
      </w:r>
      <w:r>
        <w:rPr>
          <w:rFonts w:ascii="Times New Roman" w:hAnsi="Times New Roman" w:eastAsia="宋体" w:cs="Times New Roman"/>
          <w:sz w:val="24"/>
          <w:szCs w:val="21"/>
        </w:rPr>
        <w:t>A</w:t>
      </w:r>
      <w:r>
        <w:rPr>
          <w:rFonts w:hint="eastAsia" w:ascii="Times New Roman" w:hAnsi="Times New Roman" w:eastAsia="宋体" w:cs="Times New Roman"/>
          <w:sz w:val="24"/>
          <w:szCs w:val="21"/>
        </w:rPr>
        <w:t>/</w:t>
      </w:r>
      <w:r>
        <w:rPr>
          <w:rFonts w:ascii="Times New Roman" w:hAnsi="Times New Roman" w:eastAsia="宋体" w:cs="Times New Roman"/>
          <w:sz w:val="24"/>
          <w:szCs w:val="21"/>
        </w:rPr>
        <w:t>30V</w:t>
      </w:r>
      <w:r>
        <w:rPr>
          <w:rFonts w:hint="eastAsia" w:ascii="Times New Roman" w:hAnsi="Times New Roman" w:eastAsia="宋体" w:cs="Times New Roman"/>
          <w:sz w:val="24"/>
          <w:szCs w:val="21"/>
        </w:rPr>
        <w:t>。</w:t>
      </w:r>
    </w:p>
    <w:p>
      <w:pPr>
        <w:numPr>
          <w:ilvl w:val="0"/>
          <w:numId w:val="27"/>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可以实现的故障类型包括：</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①对电源短路；</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②对地短路；</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③开路；</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④除开路外，其它故障形式可以选择是否带负载。</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3.7主机柜技术要求</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标准19英寸机柜，高度14U；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机柜面板布置规矩，横平竖直；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机柜内走线规整、符合相关电气接线法规要求；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机柜底必须配置牢固灵活的滚轮并可锁止；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机柜配备 PDU 单元，实现对设备的交流电源进行控制、分配、保护等功能。机柜PDU 中要求包含急停开关，急停开关要求有单机工作和联机工作两种工作模式； </w:t>
      </w:r>
    </w:p>
    <w:p>
      <w:pPr>
        <w:numPr>
          <w:ilvl w:val="0"/>
          <w:numId w:val="27"/>
        </w:numPr>
        <w:spacing w:line="360" w:lineRule="auto"/>
      </w:pPr>
      <w:r>
        <w:rPr>
          <w:rFonts w:hint="eastAsia" w:ascii="Times New Roman" w:hAnsi="Times New Roman" w:eastAsia="宋体" w:cs="Times New Roman"/>
          <w:sz w:val="24"/>
          <w:szCs w:val="21"/>
        </w:rPr>
        <w:t>根据环境温度，需考虑机柜的散热性； 机柜绝缘等级需满足Ⅲ类设备绝缘。</w:t>
      </w:r>
    </w:p>
    <w:p>
      <w:pPr>
        <w:spacing w:line="360" w:lineRule="auto"/>
        <w:outlineLvl w:val="3"/>
        <w:rPr>
          <w:rFonts w:ascii="Times New Roman" w:hAnsi="Times New Roman" w:eastAsia="宋体" w:cs="Times New Roman"/>
          <w:b/>
          <w:bCs/>
          <w:sz w:val="24"/>
          <w:szCs w:val="24"/>
        </w:rPr>
      </w:pPr>
      <w:bookmarkStart w:id="58" w:name="_Toc36027024"/>
      <w:r>
        <w:rPr>
          <w:rFonts w:hint="eastAsia" w:ascii="Times New Roman" w:hAnsi="Times New Roman" w:eastAsia="宋体" w:cs="Times New Roman"/>
          <w:b/>
          <w:bCs/>
          <w:sz w:val="24"/>
          <w:szCs w:val="24"/>
        </w:rPr>
        <w:t>3.8设备接插件及工具要求</w:t>
      </w:r>
      <w:bookmarkEnd w:id="58"/>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每个接插件</w:t>
      </w:r>
      <w:r>
        <w:rPr>
          <w:rFonts w:ascii="Times New Roman" w:hAnsi="Times New Roman" w:eastAsia="宋体" w:cs="Times New Roman"/>
          <w:sz w:val="24"/>
          <w:szCs w:val="21"/>
        </w:rPr>
        <w:t>90PIN</w:t>
      </w:r>
      <w:r>
        <w:rPr>
          <w:rFonts w:hint="eastAsia" w:ascii="Times New Roman" w:hAnsi="Times New Roman" w:eastAsia="宋体" w:cs="Times New Roman"/>
          <w:sz w:val="24"/>
          <w:szCs w:val="21"/>
        </w:rPr>
        <w:t>，最大持续电流≥</w:t>
      </w:r>
      <w:r>
        <w:rPr>
          <w:rFonts w:ascii="Times New Roman" w:hAnsi="Times New Roman" w:eastAsia="宋体" w:cs="Times New Roman"/>
          <w:sz w:val="24"/>
          <w:szCs w:val="21"/>
        </w:rPr>
        <w:t>8A</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接触电阻≤</w:t>
      </w:r>
      <w:r>
        <w:rPr>
          <w:rFonts w:ascii="Times New Roman" w:hAnsi="Times New Roman" w:eastAsia="宋体" w:cs="Times New Roman"/>
          <w:sz w:val="24"/>
          <w:szCs w:val="21"/>
        </w:rPr>
        <w:t>10</w:t>
      </w:r>
      <w:r>
        <w:rPr>
          <w:rFonts w:hint="eastAsia" w:ascii="Times New Roman" w:hAnsi="Times New Roman" w:eastAsia="宋体" w:cs="Times New Roman"/>
          <w:sz w:val="24"/>
          <w:szCs w:val="21"/>
        </w:rPr>
        <w:t>毫欧；</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插拔次数≥</w:t>
      </w:r>
      <w:r>
        <w:rPr>
          <w:rFonts w:ascii="Times New Roman" w:hAnsi="Times New Roman" w:eastAsia="宋体" w:cs="Times New Roman"/>
          <w:sz w:val="24"/>
          <w:szCs w:val="21"/>
        </w:rPr>
        <w:t>5000</w:t>
      </w:r>
      <w:r>
        <w:rPr>
          <w:rFonts w:hint="eastAsia" w:ascii="Times New Roman" w:hAnsi="Times New Roman" w:eastAsia="宋体" w:cs="Times New Roman"/>
          <w:sz w:val="24"/>
          <w:szCs w:val="21"/>
        </w:rPr>
        <w:t>次（寿命</w:t>
      </w:r>
      <w:r>
        <w:rPr>
          <w:rFonts w:ascii="Times New Roman" w:hAnsi="Times New Roman" w:eastAsia="宋体" w:cs="Times New Roman"/>
          <w:sz w:val="24"/>
          <w:szCs w:val="21"/>
        </w:rPr>
        <w:t>5000</w:t>
      </w:r>
      <w:r>
        <w:rPr>
          <w:rFonts w:hint="eastAsia" w:ascii="Times New Roman" w:hAnsi="Times New Roman" w:eastAsia="宋体" w:cs="Times New Roman"/>
          <w:sz w:val="24"/>
          <w:szCs w:val="21"/>
        </w:rPr>
        <w:t>次的概念指的是</w:t>
      </w:r>
      <w:r>
        <w:rPr>
          <w:rFonts w:ascii="Times New Roman" w:hAnsi="Times New Roman" w:eastAsia="宋体" w:cs="Times New Roman"/>
          <w:sz w:val="24"/>
          <w:szCs w:val="21"/>
        </w:rPr>
        <w:t>5000</w:t>
      </w:r>
      <w:r>
        <w:rPr>
          <w:rFonts w:hint="eastAsia" w:ascii="Times New Roman" w:hAnsi="Times New Roman" w:eastAsia="宋体" w:cs="Times New Roman"/>
          <w:sz w:val="24"/>
          <w:szCs w:val="21"/>
        </w:rPr>
        <w:t>次以后接触电阻不能超过初始接触电阻的</w:t>
      </w:r>
      <w:r>
        <w:rPr>
          <w:rFonts w:ascii="Times New Roman" w:hAnsi="Times New Roman" w:eastAsia="宋体" w:cs="Times New Roman"/>
          <w:sz w:val="24"/>
          <w:szCs w:val="21"/>
        </w:rPr>
        <w:t>3</w:t>
      </w:r>
      <w:r>
        <w:rPr>
          <w:rFonts w:hint="eastAsia" w:ascii="Times New Roman" w:hAnsi="Times New Roman" w:eastAsia="宋体" w:cs="Times New Roman"/>
          <w:sz w:val="24"/>
          <w:szCs w:val="21"/>
        </w:rPr>
        <w:t>倍）；</w:t>
      </w:r>
    </w:p>
    <w:p>
      <w:pPr>
        <w:numPr>
          <w:ilvl w:val="0"/>
          <w:numId w:val="28"/>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需提供相关连接器参数能力证明材料</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接插件数量应满足项目实际使用需求；</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每个台架需提供两套机柜对接端线束接插件，方便后期扩展；</w:t>
      </w:r>
    </w:p>
    <w:p>
      <w:pPr>
        <w:numPr>
          <w:ilvl w:val="0"/>
          <w:numId w:val="28"/>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需配置与连接器配套的专用压针与</w:t>
      </w:r>
      <w:r>
        <w:rPr>
          <w:rFonts w:hint="eastAsia" w:ascii="Times New Roman" w:hAnsi="Times New Roman" w:eastAsia="宋体" w:cs="Times New Roman"/>
          <w:sz w:val="24"/>
          <w:szCs w:val="21"/>
        </w:rPr>
        <w:t>退针</w:t>
      </w:r>
      <w:r>
        <w:rPr>
          <w:rFonts w:ascii="Times New Roman" w:hAnsi="Times New Roman" w:eastAsia="宋体" w:cs="Times New Roman"/>
          <w:sz w:val="24"/>
          <w:szCs w:val="21"/>
        </w:rPr>
        <w:t>工具一套。</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3.9电机对拧台架要求</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3.9.1 负载电机要求</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额定扭矩≥</w:t>
      </w:r>
      <w:r>
        <w:rPr>
          <w:rFonts w:ascii="Times New Roman" w:hAnsi="Times New Roman" w:eastAsia="宋体" w:cs="Times New Roman"/>
          <w:sz w:val="24"/>
          <w:szCs w:val="21"/>
        </w:rPr>
        <w:t>8Nm</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最大扭矩≥1</w:t>
      </w:r>
      <w:r>
        <w:rPr>
          <w:rFonts w:ascii="Times New Roman" w:hAnsi="Times New Roman" w:eastAsia="宋体" w:cs="Times New Roman"/>
          <w:sz w:val="24"/>
          <w:szCs w:val="21"/>
        </w:rPr>
        <w:t>0Nm</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额定转速≥</w:t>
      </w:r>
      <w:r>
        <w:rPr>
          <w:rFonts w:ascii="Times New Roman" w:hAnsi="Times New Roman" w:eastAsia="宋体" w:cs="Times New Roman"/>
          <w:sz w:val="24"/>
          <w:szCs w:val="21"/>
        </w:rPr>
        <w:t>3000rpm</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支持扭矩控制和转角控制；</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支持CANopen、</w:t>
      </w:r>
      <w:r>
        <w:rPr>
          <w:rFonts w:ascii="Times New Roman" w:hAnsi="Times New Roman" w:eastAsia="宋体" w:cs="Times New Roman"/>
          <w:sz w:val="24"/>
          <w:szCs w:val="21"/>
        </w:rPr>
        <w:t>ethercat</w:t>
      </w:r>
      <w:r>
        <w:rPr>
          <w:rFonts w:hint="eastAsia" w:ascii="Times New Roman" w:hAnsi="Times New Roman" w:eastAsia="宋体" w:cs="Times New Roman"/>
          <w:sz w:val="24"/>
          <w:szCs w:val="21"/>
        </w:rPr>
        <w:t>协议；</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支持位置输出。</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3.9.2 扭矩传感器要求</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最大扭矩≥</w:t>
      </w:r>
      <w:r>
        <w:rPr>
          <w:rFonts w:ascii="Times New Roman" w:hAnsi="Times New Roman" w:eastAsia="宋体" w:cs="Times New Roman"/>
          <w:sz w:val="24"/>
          <w:szCs w:val="21"/>
        </w:rPr>
        <w:t>10Nm</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最大转速≥</w:t>
      </w:r>
      <w:r>
        <w:rPr>
          <w:rFonts w:ascii="Times New Roman" w:hAnsi="Times New Roman" w:eastAsia="宋体" w:cs="Times New Roman"/>
          <w:sz w:val="24"/>
          <w:szCs w:val="21"/>
        </w:rPr>
        <w:t>3000rpm</w:t>
      </w:r>
    </w:p>
    <w:p>
      <w:pPr>
        <w:numPr>
          <w:ilvl w:val="0"/>
          <w:numId w:val="28"/>
        </w:numPr>
        <w:spacing w:line="360" w:lineRule="auto"/>
      </w:pPr>
      <w:r>
        <w:rPr>
          <w:rFonts w:hint="eastAsia" w:ascii="Times New Roman" w:hAnsi="Times New Roman" w:eastAsia="宋体" w:cs="Times New Roman"/>
          <w:sz w:val="24"/>
          <w:szCs w:val="21"/>
        </w:rPr>
        <w:t>精度≥ 0</w:t>
      </w:r>
      <w:r>
        <w:rPr>
          <w:rFonts w:ascii="Times New Roman" w:hAnsi="Times New Roman" w:eastAsia="宋体" w:cs="Times New Roman"/>
          <w:sz w:val="24"/>
          <w:szCs w:val="21"/>
        </w:rPr>
        <w:t>.1%</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 软件平台技术要求</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4.1试验管理软件要求</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4.1.1工程配置要求</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支持管理实时仿真机中所有硬件板卡的配置和接口集成；</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支持CAN、CANFD、LIN、车载以太网总线报文数据库文件的导入及管理；</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网络模型可以支持：FastDDS、LDF、Socket-Client、Socket-Server、CAN Codec，SOME/IP等；</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支持基于</w:t>
      </w:r>
      <w:r>
        <w:rPr>
          <w:rFonts w:ascii="Times New Roman" w:hAnsi="Times New Roman" w:eastAsia="宋体" w:cs="Times New Roman"/>
          <w:sz w:val="24"/>
          <w:szCs w:val="21"/>
        </w:rPr>
        <w:t>UDP</w:t>
      </w:r>
      <w:r>
        <w:rPr>
          <w:rFonts w:hint="eastAsia" w:ascii="Times New Roman" w:hAnsi="Times New Roman" w:eastAsia="宋体" w:cs="Times New Roman"/>
          <w:sz w:val="24"/>
          <w:szCs w:val="21"/>
        </w:rPr>
        <w:t>、</w:t>
      </w:r>
      <w:r>
        <w:rPr>
          <w:rFonts w:ascii="Times New Roman" w:hAnsi="Times New Roman" w:eastAsia="宋体" w:cs="Times New Roman"/>
          <w:sz w:val="24"/>
          <w:szCs w:val="21"/>
        </w:rPr>
        <w:t>TCP</w:t>
      </w:r>
      <w:r>
        <w:rPr>
          <w:rFonts w:hint="eastAsia" w:ascii="Times New Roman" w:hAnsi="Times New Roman" w:eastAsia="宋体" w:cs="Times New Roman"/>
          <w:sz w:val="24"/>
          <w:szCs w:val="21"/>
        </w:rPr>
        <w:t>与SOME/IP</w:t>
      </w:r>
      <w:r>
        <w:rPr>
          <w:rFonts w:ascii="Times New Roman" w:hAnsi="Times New Roman" w:eastAsia="宋体" w:cs="Times New Roman"/>
          <w:sz w:val="24"/>
          <w:szCs w:val="21"/>
        </w:rPr>
        <w:t>协议的标准以太网通信</w:t>
      </w:r>
      <w:r>
        <w:rPr>
          <w:rFonts w:hint="eastAsia" w:ascii="Times New Roman" w:hAnsi="Times New Roman" w:eastAsia="宋体" w:cs="Times New Roman"/>
          <w:sz w:val="24"/>
          <w:szCs w:val="21"/>
        </w:rPr>
        <w:t>；</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支持导入CAN报文的LiveCounter和Checksum的算法文件；</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支持simulink模型、FMU模型文件的导入及管理，支持集成多个模型，并可手动将多个模型分配到不同CPU核上运行；</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支持模型信号与硬件通道、总线报文信号的映射配置；</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提供模型文件、总线数据库文件的替换功能，无需先删除再导入；</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★在重新导入或替换模型和总线数据库文件后，映射关系可以自动恢复，无需再手动添加；</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★支持手动选定多个变量进行批量映射操作；</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支持模型参数修改和保存，根据不同待测车型，管理、设定相应参数；</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支持实时记录数据，支持*.mat 、*.csv 等文件格式；</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4.1.2监控界面要求</w:t>
      </w:r>
    </w:p>
    <w:p>
      <w:pPr>
        <w:numPr>
          <w:ilvl w:val="0"/>
          <w:numId w:val="30"/>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支持模型变量、硬件通道信号、总线信号的在线监控以及模型参数的在线调参。</w:t>
      </w:r>
    </w:p>
    <w:p>
      <w:pPr>
        <w:numPr>
          <w:ilvl w:val="0"/>
          <w:numId w:val="30"/>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提供丰富的常用控件库，应包括：</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①数值控制、数值显示、滑动条、旋钮、进度条、状态灯、指针仪表；</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②单选框、复选框、下拉选择开关类控件；</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③拨动开关、复位按钮等档位类控件；</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④多变量同步显示控件，支持1维、2维信号的同步显示；</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⑤汽车仪表盘、制动踏板、油门踏板等常用汽车控件；</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⑥实时波形图显示控件。</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提供监控数据的实时保存和数据曲线回放功能，数据回放界面应支持以下功能。</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①支持多波形图模式，每个波形图可以配置多个信号；</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②单个波形图支持多Y轴模式；</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kern w:val="0"/>
          <w:sz w:val="24"/>
          <w:szCs w:val="21"/>
        </w:rPr>
        <w:t>③可在图形上添加标尺线，可以观察某个时间点的信号值或者两个时间点之间的信号差值；</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kern w:val="0"/>
          <w:sz w:val="24"/>
          <w:szCs w:val="21"/>
        </w:rPr>
        <w:t>④可以支持放大、缩小等操作。</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提供控件是否关联变量的检测功能，未关联变量的控件提供适当的提示。</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控件与模型变量的关联关系在模型重新导入后可以自动恢复，不需要重新进行关联。</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支持一键定位控件的关联变量。</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支持提供运行时数值超限报警。</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支持布局编辑功能，例如等距排布、对齐、控件组合等功能。</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提供装饰器控件增强布局美化效果，至少包含文本背景、图片背景、背景颜色渐变等效果。</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4.1.3 标定与测量</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CCP on CAN / CANFD</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XCP 传输层支持 on CAN / on CANFD / on ETH</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CCP / XCP 解锁</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支持脚本通过 CCP 刷写</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hex, S19 数据文件</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Polling 模式读取测量量, 周期可灵活配置</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支持通过示波器显示测量数据值</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4.1.4 其他</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在硬件支持的情况下质保期内支持软件免费升级；</w:t>
      </w:r>
    </w:p>
    <w:p>
      <w:pPr>
        <w:numPr>
          <w:ilvl w:val="0"/>
          <w:numId w:val="29"/>
        </w:numPr>
        <w:spacing w:line="360" w:lineRule="auto"/>
      </w:pPr>
      <w:r>
        <w:rPr>
          <w:rFonts w:hint="eastAsia" w:ascii="Times New Roman" w:hAnsi="Times New Roman" w:eastAsia="宋体" w:cs="Times New Roman"/>
          <w:sz w:val="24"/>
          <w:szCs w:val="21"/>
        </w:rPr>
        <w:t>★软件不受License等限制，允许多用户同时使用，具有永久使用权限；</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4.2故障注入软件要求</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可以支持故障注入单元的故障注入配置和手动激活与取消；</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支持以拖拽的方式选取需要配置的通道；</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可以对每个信号通道的故障类型进行设置和激活；</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可以对多个信号通道的故障组合同时进行激活；</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能够导出或读取所有选定通道的故障配置状态；</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能够设置故障激活的持续时间。</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4.3 IO模型生成工具要求</w:t>
      </w:r>
    </w:p>
    <w:p>
      <w:pPr>
        <w:numPr>
          <w:ilvl w:val="0"/>
          <w:numId w:val="32"/>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支持导入HIL系统设计的信号列表，并完成对信号列表的解析，自动调用HIL平台的输入输出硬件接口模块，实现Simulink 硬线IO模型的自动生成，IO模型与硬件接口的自动匹配；</w:t>
      </w:r>
    </w:p>
    <w:p>
      <w:pPr>
        <w:numPr>
          <w:ilvl w:val="0"/>
          <w:numId w:val="32"/>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支持导入CAN总线dbc文件，并完成对dbc的解析，实现普通输入输出CAN IO模型和网关IO模型的自动生成（包含Checksum算法），IO模型与总线接口的自动匹配；</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IO模型需包含输入输出（相对于HIL而言）两大类。并且硬线IO与总线IO独立封装；</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不同ECU的信号独立封装。同一ECU的信号，相同类型的IO信号独立封装；</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IO模型必须外观整洁，内部连线清晰无交叉，模块布置无重叠，大小合理；</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每一个信号线都必须按照信号列表或者总线database中定义的名称进行自动命名，名称至少包含ECU、信号类型、信号名称等信息；</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每个信号都要具备手动设定接口，即传输到硬件端口的值即可来至于前端车辆模型，也可来至于手动输入。针对数字类硬线信号，还必须包含取反模块，实现0/1的快速切换配置。</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4.4自动测试软件要求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自动测试</w:t>
      </w:r>
      <w:r>
        <w:rPr>
          <w:rFonts w:ascii="Times New Roman" w:hAnsi="Times New Roman" w:eastAsia="宋体" w:cs="Times New Roman"/>
          <w:sz w:val="24"/>
          <w:szCs w:val="24"/>
        </w:rPr>
        <w:t>软件用于编写自动测试序列，并</w:t>
      </w:r>
      <w:r>
        <w:rPr>
          <w:rFonts w:hint="eastAsia" w:ascii="Times New Roman" w:hAnsi="Times New Roman" w:eastAsia="宋体" w:cs="Times New Roman"/>
          <w:sz w:val="24"/>
          <w:szCs w:val="24"/>
        </w:rPr>
        <w:t>基于</w:t>
      </w:r>
      <w:r>
        <w:rPr>
          <w:rFonts w:ascii="Times New Roman" w:hAnsi="Times New Roman" w:eastAsia="宋体" w:cs="Times New Roman"/>
          <w:sz w:val="24"/>
          <w:szCs w:val="24"/>
        </w:rPr>
        <w:t>HIL设备进行自动测试实施，生成测试报告。投标方</w:t>
      </w:r>
      <w:r>
        <w:rPr>
          <w:rFonts w:hint="eastAsia" w:ascii="Times New Roman" w:hAnsi="Times New Roman" w:eastAsia="宋体" w:cs="Times New Roman"/>
          <w:sz w:val="24"/>
          <w:szCs w:val="24"/>
        </w:rPr>
        <w:t>需</w:t>
      </w:r>
      <w:r>
        <w:rPr>
          <w:rFonts w:ascii="Times New Roman" w:hAnsi="Times New Roman" w:eastAsia="宋体" w:cs="Times New Roman"/>
          <w:sz w:val="24"/>
          <w:szCs w:val="24"/>
        </w:rPr>
        <w:t>在方案中</w:t>
      </w:r>
      <w:r>
        <w:rPr>
          <w:rFonts w:hint="eastAsia" w:ascii="Times New Roman" w:hAnsi="Times New Roman" w:eastAsia="宋体" w:cs="Times New Roman"/>
          <w:sz w:val="24"/>
          <w:szCs w:val="24"/>
        </w:rPr>
        <w:t>图文</w:t>
      </w:r>
      <w:r>
        <w:rPr>
          <w:rFonts w:ascii="Times New Roman" w:hAnsi="Times New Roman" w:eastAsia="宋体" w:cs="Times New Roman"/>
          <w:sz w:val="24"/>
          <w:szCs w:val="24"/>
        </w:rPr>
        <w:t>并茂的充分证明</w:t>
      </w:r>
      <w:r>
        <w:rPr>
          <w:rFonts w:hint="eastAsia" w:ascii="Times New Roman" w:hAnsi="Times New Roman" w:eastAsia="宋体" w:cs="Times New Roman"/>
          <w:sz w:val="24"/>
          <w:szCs w:val="24"/>
        </w:rPr>
        <w:t>相关</w:t>
      </w:r>
      <w:r>
        <w:rPr>
          <w:rFonts w:ascii="Times New Roman" w:hAnsi="Times New Roman" w:eastAsia="宋体" w:cs="Times New Roman"/>
          <w:sz w:val="24"/>
          <w:szCs w:val="24"/>
        </w:rPr>
        <w:t>软件功能的实现。</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支持采用拖拽的方式搭建测试序列，并支持脚本语言方式编写复杂逻辑；</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与试验管理软件无缝连接可自动打开试验管理软件进行模型的下载；</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支持调用故障注入设备执行自动测试，可设置注入的故障类型；</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能够自动生成基于XML的HTML和PDF格式的测试报告，并可以重复生成，测试报告的格式可根据需求进行自定制；</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支持CANoe、Matlab、Office、DYNA4、VTD、Trucksim等第三方软件的调用；</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需提供标准的诊断模块库，支持基于SAE J2534协议标准的诊断设备，支持ODX数据库的解析，可基于此模块进行ECU诊断功能的测试；</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支持自定义库的封装，并开放自定义库的接口变量，库同步时不会对序列中引入库的接口变量赋值进行修改；</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支持测试用例离线开发及调试，各种设备都可以分别配置离线和在线执行状态。支持测试用例的静态编译及语法检查，在测试序列执行之前提示语法有错误的序列模块；</w:t>
      </w:r>
    </w:p>
    <w:p>
      <w:pPr>
        <w:numPr>
          <w:ilvl w:val="0"/>
          <w:numId w:val="33"/>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支持逻辑测试用例</w:t>
      </w:r>
      <w:r>
        <w:rPr>
          <w:rFonts w:hint="eastAsia" w:ascii="Times New Roman" w:hAnsi="Times New Roman" w:eastAsia="宋体" w:cs="Times New Roman"/>
          <w:sz w:val="24"/>
          <w:szCs w:val="21"/>
        </w:rPr>
        <w:t>（LTC）</w:t>
      </w:r>
      <w:r>
        <w:rPr>
          <w:rFonts w:ascii="Times New Roman" w:hAnsi="Times New Roman" w:eastAsia="宋体" w:cs="Times New Roman"/>
          <w:sz w:val="24"/>
          <w:szCs w:val="21"/>
        </w:rPr>
        <w:t>和</w:t>
      </w:r>
      <w:r>
        <w:rPr>
          <w:rFonts w:hint="eastAsia" w:ascii="Times New Roman" w:hAnsi="Times New Roman" w:eastAsia="宋体" w:cs="Times New Roman"/>
          <w:sz w:val="24"/>
          <w:szCs w:val="21"/>
        </w:rPr>
        <w:t>具体</w:t>
      </w:r>
      <w:r>
        <w:rPr>
          <w:rFonts w:ascii="Times New Roman" w:hAnsi="Times New Roman" w:eastAsia="宋体" w:cs="Times New Roman"/>
          <w:sz w:val="24"/>
          <w:szCs w:val="21"/>
        </w:rPr>
        <w:t>测试用例</w:t>
      </w:r>
      <w:r>
        <w:rPr>
          <w:rFonts w:hint="eastAsia" w:ascii="Times New Roman" w:hAnsi="Times New Roman" w:eastAsia="宋体" w:cs="Times New Roman"/>
          <w:sz w:val="24"/>
          <w:szCs w:val="21"/>
        </w:rPr>
        <w:t>（CTC）</w:t>
      </w:r>
      <w:r>
        <w:rPr>
          <w:rFonts w:ascii="Times New Roman" w:hAnsi="Times New Roman" w:eastAsia="宋体" w:cs="Times New Roman"/>
          <w:sz w:val="24"/>
          <w:szCs w:val="21"/>
        </w:rPr>
        <w:t>的分离，</w:t>
      </w: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测试序列参数化功能，每个序列的变量可通过参数赋值表格进行赋值，从而实现相同逻辑测试用例只编写一次</w:t>
      </w:r>
      <w:r>
        <w:rPr>
          <w:rFonts w:hint="eastAsia" w:ascii="Times New Roman" w:hAnsi="Times New Roman" w:eastAsia="宋体" w:cs="Times New Roman"/>
          <w:sz w:val="24"/>
          <w:szCs w:val="21"/>
        </w:rPr>
        <w:t>。</w:t>
      </w:r>
      <w:r>
        <w:rPr>
          <w:rFonts w:ascii="Times New Roman" w:hAnsi="Times New Roman" w:eastAsia="宋体" w:cs="Times New Roman"/>
          <w:sz w:val="24"/>
          <w:szCs w:val="21"/>
        </w:rPr>
        <w:t>支持由LTC生成CTC过程的脚本编写，可根据自定义需要自动生成参数表。</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支持定制测试计划，可编辑计划所包含的测试用例并支持配置执行次数与执行次序；</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提供基本库，主要包括图形化的逻辑语句，实现如If Else、For、break等控制流程；</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提供测量标定库，支持INCA，CANAPE等标定诊断软件的调用，不需要额外购买其他模块。该模块库需支持测量量的瞬时读取和判断，支持Parameter、Curve、Map、Shared Axis、Value Block等常用标定类型的读写；</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4.5车辆动力学软件要求</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59" w:name="_Toc9681"/>
      <w:bookmarkStart w:id="60" w:name="_Toc152279002"/>
      <w:r>
        <w:rPr>
          <w:rFonts w:hint="eastAsia" w:ascii="Times New Roman" w:hAnsi="Times New Roman" w:eastAsia="宋体" w:cs="Times New Roman"/>
          <w:sz w:val="24"/>
          <w:szCs w:val="24"/>
        </w:rPr>
        <w:t>4.5.1车辆模型</w:t>
      </w:r>
      <w:bookmarkEnd w:id="59"/>
      <w:r>
        <w:rPr>
          <w:rFonts w:hint="eastAsia" w:ascii="Times New Roman" w:hAnsi="Times New Roman" w:eastAsia="宋体" w:cs="Times New Roman"/>
          <w:sz w:val="24"/>
          <w:szCs w:val="24"/>
        </w:rPr>
        <w:t>总体要求</w:t>
      </w:r>
      <w:bookmarkEnd w:id="60"/>
    </w:p>
    <w:p>
      <w:pPr>
        <w:pStyle w:val="149"/>
        <w:numPr>
          <w:ilvl w:val="0"/>
          <w:numId w:val="0"/>
        </w:numPr>
        <w:spacing w:line="360" w:lineRule="auto"/>
        <w:ind w:firstLine="480" w:firstLineChars="200"/>
      </w:pPr>
      <w:r>
        <w:rPr>
          <w:rFonts w:hint="eastAsia"/>
        </w:rPr>
        <w:t>1）</w:t>
      </w:r>
      <w:r>
        <w:rPr>
          <w:rFonts w:hint="eastAsia" w:ascii="宋体" w:hAnsi="宋体" w:cs="宋体"/>
        </w:rPr>
        <w:t>★</w:t>
      </w:r>
      <w:r>
        <w:rPr>
          <w:rFonts w:ascii="宋体" w:hAnsi="宋体" w:cs="宋体"/>
          <w:color w:val="000000"/>
        </w:rPr>
        <w:t>采用成熟的商业化模型</w:t>
      </w:r>
      <w:r>
        <w:rPr>
          <w:rFonts w:ascii="宋体" w:hAnsi="宋体" w:cs="宋体"/>
        </w:rPr>
        <w:t>，</w:t>
      </w:r>
      <w:r>
        <w:rPr>
          <w:rFonts w:ascii="宋体" w:hAnsi="宋体" w:cs="宋体"/>
          <w:color w:val="000000"/>
        </w:rPr>
        <w:t>除特殊说明外，均要求有</w:t>
      </w:r>
      <w:r>
        <w:rPr>
          <w:rFonts w:hint="eastAsia" w:ascii="宋体" w:hAnsi="宋体" w:cs="宋体"/>
          <w:color w:val="000000"/>
        </w:rPr>
        <w:t>5</w:t>
      </w:r>
      <w:r>
        <w:rPr>
          <w:rFonts w:ascii="宋体" w:hAnsi="宋体" w:cs="宋体"/>
          <w:color w:val="000000"/>
        </w:rPr>
        <w:t>年以上的版本更新记录。</w:t>
      </w:r>
    </w:p>
    <w:p>
      <w:pPr>
        <w:pStyle w:val="149"/>
        <w:numPr>
          <w:ilvl w:val="0"/>
          <w:numId w:val="0"/>
        </w:numPr>
        <w:spacing w:line="360" w:lineRule="auto"/>
        <w:ind w:firstLine="480" w:firstLineChars="200"/>
      </w:pPr>
      <w:r>
        <w:rPr>
          <w:rFonts w:hint="eastAsia"/>
        </w:rPr>
        <w:t>2）车辆模型应为多体、全参数化、非线性、具有可扩展能力的模型。模型具有开放性，留有Simulink接口，并具有方便的可视化较强的参数化接口。</w:t>
      </w:r>
    </w:p>
    <w:p>
      <w:pPr>
        <w:pStyle w:val="149"/>
        <w:numPr>
          <w:ilvl w:val="0"/>
          <w:numId w:val="0"/>
        </w:numPr>
        <w:spacing w:line="360" w:lineRule="auto"/>
        <w:ind w:firstLine="480" w:firstLineChars="200"/>
      </w:pPr>
      <w:r>
        <w:rPr>
          <w:rFonts w:hint="eastAsia"/>
        </w:rPr>
        <w:t>3）车辆模型应留有大量接口，能够实现和simulink自定义模型的替换和集成，满足不同集成方式的需求。</w:t>
      </w:r>
    </w:p>
    <w:p>
      <w:pPr>
        <w:pStyle w:val="149"/>
        <w:numPr>
          <w:ilvl w:val="0"/>
          <w:numId w:val="0"/>
        </w:numPr>
        <w:spacing w:line="360" w:lineRule="auto"/>
        <w:ind w:firstLine="480" w:firstLineChars="200"/>
      </w:pPr>
      <w:r>
        <w:rPr>
          <w:rFonts w:hint="eastAsia"/>
        </w:rPr>
        <w:t>4）商用车辆模型应支持2轴、3轴</w:t>
      </w:r>
      <w:r>
        <w:t>、4轴及</w:t>
      </w:r>
      <w:r>
        <w:rPr>
          <w:rFonts w:hint="eastAsia"/>
        </w:rPr>
        <w:t>5轴</w:t>
      </w:r>
      <w:r>
        <w:t>车辆模型，且均为多体动力学模型，</w:t>
      </w:r>
      <w:r>
        <w:rPr>
          <w:rFonts w:hint="eastAsia"/>
        </w:rPr>
        <w:t>同时各个轴</w:t>
      </w:r>
      <w:r>
        <w:t>可</w:t>
      </w:r>
      <w:r>
        <w:rPr>
          <w:rFonts w:hint="eastAsia"/>
        </w:rPr>
        <w:t>独立</w:t>
      </w:r>
      <w:r>
        <w:t>配置悬架类型，</w:t>
      </w:r>
      <w:r>
        <w:rPr>
          <w:rFonts w:hint="eastAsia"/>
        </w:rPr>
        <w:t>包括</w:t>
      </w:r>
      <w:r>
        <w:t>独立和非独立悬架</w:t>
      </w:r>
      <w:r>
        <w:rPr>
          <w:rFonts w:hint="eastAsia"/>
        </w:rPr>
        <w:t>，</w:t>
      </w:r>
      <w:r>
        <w:t>此外</w:t>
      </w:r>
      <w:r>
        <w:rPr>
          <w:rFonts w:hint="eastAsia"/>
        </w:rPr>
        <w:t>每个</w:t>
      </w:r>
      <w:r>
        <w:t>轴均支持</w:t>
      </w:r>
      <w:r>
        <w:rPr>
          <w:rFonts w:hint="eastAsia"/>
        </w:rPr>
        <w:t>配置</w:t>
      </w:r>
      <w:r>
        <w:t>独立转向</w:t>
      </w:r>
      <w:r>
        <w:rPr>
          <w:rFonts w:hint="eastAsia"/>
        </w:rPr>
        <w:t>。模型应具有开放性，留有Simulink接口，并具有方便的可视化较强的参数化接口。</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车辆模型应有如下部分组成：</w:t>
      </w:r>
    </w:p>
    <w:p>
      <w:pPr>
        <w:pStyle w:val="149"/>
        <w:numPr>
          <w:ilvl w:val="0"/>
          <w:numId w:val="0"/>
        </w:numPr>
        <w:spacing w:line="360" w:lineRule="auto"/>
        <w:ind w:firstLine="480" w:firstLineChars="200"/>
      </w:pPr>
      <w:r>
        <w:rPr>
          <w:rFonts w:hint="eastAsia"/>
        </w:rPr>
        <w:t>1）车身；</w:t>
      </w:r>
    </w:p>
    <w:p>
      <w:pPr>
        <w:pStyle w:val="149"/>
        <w:numPr>
          <w:ilvl w:val="0"/>
          <w:numId w:val="0"/>
        </w:numPr>
        <w:spacing w:line="360" w:lineRule="auto"/>
        <w:ind w:firstLine="480" w:firstLineChars="200"/>
      </w:pPr>
      <w:r>
        <w:rPr>
          <w:rFonts w:hint="eastAsia"/>
        </w:rPr>
        <w:t>2）</w:t>
      </w:r>
      <w:r>
        <w:t>3D空气动力学</w:t>
      </w:r>
      <w:r>
        <w:rPr>
          <w:rFonts w:hint="eastAsia"/>
        </w:rPr>
        <w:t>；</w:t>
      </w:r>
    </w:p>
    <w:p>
      <w:pPr>
        <w:pStyle w:val="149"/>
        <w:numPr>
          <w:ilvl w:val="0"/>
          <w:numId w:val="0"/>
        </w:numPr>
        <w:spacing w:line="360" w:lineRule="auto"/>
        <w:ind w:firstLine="480" w:firstLineChars="200"/>
      </w:pPr>
      <w:r>
        <w:rPr>
          <w:rFonts w:hint="eastAsia"/>
        </w:rPr>
        <w:t>3）悬架系统；</w:t>
      </w:r>
    </w:p>
    <w:p>
      <w:pPr>
        <w:pStyle w:val="149"/>
        <w:numPr>
          <w:ilvl w:val="0"/>
          <w:numId w:val="0"/>
        </w:numPr>
        <w:spacing w:line="360" w:lineRule="auto"/>
        <w:ind w:firstLine="480" w:firstLineChars="200"/>
      </w:pPr>
      <w:r>
        <w:rPr>
          <w:rFonts w:hint="eastAsia"/>
        </w:rPr>
        <w:t>4）转向系统；</w:t>
      </w:r>
    </w:p>
    <w:p>
      <w:pPr>
        <w:pStyle w:val="149"/>
        <w:numPr>
          <w:ilvl w:val="0"/>
          <w:numId w:val="0"/>
        </w:numPr>
        <w:spacing w:line="360" w:lineRule="auto"/>
        <w:ind w:firstLine="480" w:firstLineChars="200"/>
      </w:pPr>
      <w:r>
        <w:rPr>
          <w:rFonts w:hint="eastAsia"/>
        </w:rPr>
        <w:t>5）制动系统；</w:t>
      </w:r>
    </w:p>
    <w:p>
      <w:pPr>
        <w:pStyle w:val="149"/>
        <w:numPr>
          <w:ilvl w:val="0"/>
          <w:numId w:val="0"/>
        </w:numPr>
        <w:spacing w:line="360" w:lineRule="auto"/>
        <w:ind w:firstLine="480" w:firstLineChars="200"/>
      </w:pPr>
      <w:r>
        <w:rPr>
          <w:rFonts w:hint="eastAsia"/>
        </w:rPr>
        <w:t>6）动力传动系统；</w:t>
      </w:r>
    </w:p>
    <w:p>
      <w:pPr>
        <w:pStyle w:val="149"/>
        <w:numPr>
          <w:ilvl w:val="0"/>
          <w:numId w:val="0"/>
        </w:numPr>
        <w:spacing w:line="360" w:lineRule="auto"/>
        <w:ind w:firstLine="480" w:firstLineChars="200"/>
      </w:pPr>
      <w:r>
        <w:rPr>
          <w:rFonts w:hint="eastAsia"/>
        </w:rPr>
        <w:t>7）轮胎</w:t>
      </w:r>
      <w:bookmarkStart w:id="61" w:name="_Toc152279003"/>
      <w:r>
        <w:rPr>
          <w:rFonts w:hint="eastAsia"/>
        </w:rPr>
        <w:t>。</w:t>
      </w:r>
    </w:p>
    <w:p>
      <w:pPr>
        <w:pStyle w:val="150"/>
        <w:numPr>
          <w:ilvl w:val="0"/>
          <w:numId w:val="0"/>
        </w:numPr>
        <w:ind w:left="850" w:hanging="850"/>
        <w:outlineLvl w:val="5"/>
      </w:pPr>
      <w:r>
        <w:rPr>
          <w:rFonts w:hint="eastAsia"/>
        </w:rPr>
        <w:t>4.5.1.1车身系统模型和3D空气动力学要求</w:t>
      </w:r>
      <w:bookmarkEnd w:id="61"/>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车身系统模型坐标系应符合国际车辆坐标系定义，车体自由度应包括：</w:t>
      </w:r>
    </w:p>
    <w:p>
      <w:pPr>
        <w:pStyle w:val="149"/>
        <w:numPr>
          <w:ilvl w:val="0"/>
          <w:numId w:val="0"/>
        </w:numPr>
        <w:spacing w:line="360" w:lineRule="auto"/>
        <w:ind w:firstLine="480" w:firstLineChars="200"/>
      </w:pPr>
      <w:r>
        <w:rPr>
          <w:rFonts w:hint="eastAsia"/>
        </w:rPr>
        <w:t>1）纵向、侧向、垂向三个方向的平动自由度；</w:t>
      </w:r>
    </w:p>
    <w:p>
      <w:pPr>
        <w:pStyle w:val="149"/>
        <w:numPr>
          <w:ilvl w:val="0"/>
          <w:numId w:val="0"/>
        </w:numPr>
        <w:spacing w:line="360" w:lineRule="auto"/>
        <w:ind w:firstLine="480" w:firstLineChars="200"/>
      </w:pPr>
      <w:r>
        <w:rPr>
          <w:rFonts w:hint="eastAsia"/>
        </w:rPr>
        <w:t>2）纵向、侧向、垂向三个方向的转动自由度。</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车体参数能够设置应包括：</w:t>
      </w:r>
    </w:p>
    <w:p>
      <w:pPr>
        <w:pStyle w:val="149"/>
        <w:numPr>
          <w:ilvl w:val="0"/>
          <w:numId w:val="0"/>
        </w:numPr>
        <w:spacing w:line="360" w:lineRule="auto"/>
        <w:ind w:firstLine="480" w:firstLineChars="200"/>
      </w:pPr>
      <w:r>
        <w:rPr>
          <w:rFonts w:hint="eastAsia"/>
        </w:rPr>
        <w:t>1）车辆质心坐标；</w:t>
      </w:r>
    </w:p>
    <w:p>
      <w:pPr>
        <w:pStyle w:val="149"/>
        <w:numPr>
          <w:ilvl w:val="0"/>
          <w:numId w:val="0"/>
        </w:numPr>
        <w:spacing w:line="360" w:lineRule="auto"/>
        <w:ind w:firstLine="480" w:firstLineChars="200"/>
      </w:pPr>
      <w:r>
        <w:rPr>
          <w:rFonts w:hint="eastAsia"/>
        </w:rPr>
        <w:t>2）车体结构参数，如轴距、轮距等；</w:t>
      </w:r>
    </w:p>
    <w:p>
      <w:pPr>
        <w:pStyle w:val="149"/>
        <w:numPr>
          <w:ilvl w:val="0"/>
          <w:numId w:val="0"/>
        </w:numPr>
        <w:spacing w:line="360" w:lineRule="auto"/>
        <w:ind w:firstLine="480" w:firstLineChars="200"/>
      </w:pPr>
      <w:r>
        <w:t>3</w:t>
      </w:r>
      <w:r>
        <w:rPr>
          <w:rFonts w:hint="eastAsia"/>
        </w:rPr>
        <w:t>）车体物理参数，如质量、惯量等；</w:t>
      </w:r>
    </w:p>
    <w:p>
      <w:pPr>
        <w:pStyle w:val="149"/>
        <w:numPr>
          <w:ilvl w:val="0"/>
          <w:numId w:val="0"/>
        </w:numPr>
        <w:spacing w:line="360" w:lineRule="auto"/>
        <w:ind w:firstLine="480" w:firstLineChars="200"/>
      </w:pPr>
      <w:r>
        <w:t>4</w:t>
      </w:r>
      <w:r>
        <w:rPr>
          <w:rFonts w:hint="eastAsia"/>
        </w:rPr>
        <w:t>）10个任意作用点的车辆负载（质量、惯量、坐标位置）。</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针对空气动力学应可配置：</w:t>
      </w:r>
    </w:p>
    <w:p>
      <w:pPr>
        <w:pStyle w:val="149"/>
        <w:numPr>
          <w:ilvl w:val="0"/>
          <w:numId w:val="0"/>
        </w:numPr>
        <w:spacing w:line="360" w:lineRule="auto"/>
        <w:ind w:firstLine="480" w:firstLineChars="200"/>
      </w:pPr>
      <w:r>
        <w:rPr>
          <w:rFonts w:hint="eastAsia"/>
        </w:rPr>
        <w:t>1）风力参考点（风力作用在车体上的中心参考点）；</w:t>
      </w:r>
    </w:p>
    <w:p>
      <w:pPr>
        <w:pStyle w:val="149"/>
        <w:numPr>
          <w:ilvl w:val="0"/>
          <w:numId w:val="0"/>
        </w:numPr>
        <w:spacing w:line="360" w:lineRule="auto"/>
        <w:ind w:firstLine="480" w:firstLineChars="200"/>
      </w:pPr>
      <w:r>
        <w:rPr>
          <w:rFonts w:hint="eastAsia"/>
        </w:rPr>
        <w:t>2）空气密度；</w:t>
      </w:r>
    </w:p>
    <w:p>
      <w:pPr>
        <w:pStyle w:val="149"/>
        <w:numPr>
          <w:ilvl w:val="0"/>
          <w:numId w:val="0"/>
        </w:numPr>
        <w:spacing w:line="360" w:lineRule="auto"/>
        <w:ind w:firstLine="480" w:firstLineChars="200"/>
      </w:pPr>
      <w:r>
        <w:rPr>
          <w:rFonts w:hint="eastAsia"/>
        </w:rPr>
        <w:t>3）风速；</w:t>
      </w:r>
    </w:p>
    <w:p>
      <w:pPr>
        <w:pStyle w:val="149"/>
        <w:numPr>
          <w:ilvl w:val="0"/>
          <w:numId w:val="0"/>
        </w:numPr>
        <w:spacing w:line="360" w:lineRule="auto"/>
        <w:ind w:firstLine="480" w:firstLineChars="200"/>
      </w:pPr>
      <w:r>
        <w:rPr>
          <w:rFonts w:hint="eastAsia"/>
        </w:rPr>
        <w:t>4）迎风面积和参考长度；</w:t>
      </w:r>
    </w:p>
    <w:p>
      <w:pPr>
        <w:pStyle w:val="149"/>
        <w:numPr>
          <w:ilvl w:val="0"/>
          <w:numId w:val="0"/>
        </w:numPr>
        <w:spacing w:line="360" w:lineRule="auto"/>
        <w:ind w:firstLine="480" w:firstLineChars="200"/>
      </w:pPr>
      <w:r>
        <w:rPr>
          <w:rFonts w:hint="eastAsia"/>
        </w:rPr>
        <w:t>5）风力系数曲线。</w:t>
      </w:r>
    </w:p>
    <w:p>
      <w:pPr>
        <w:pStyle w:val="150"/>
        <w:numPr>
          <w:ilvl w:val="0"/>
          <w:numId w:val="0"/>
        </w:numPr>
        <w:ind w:left="850" w:hanging="850"/>
        <w:outlineLvl w:val="5"/>
      </w:pPr>
      <w:bookmarkStart w:id="62" w:name="_Toc152279004"/>
      <w:r>
        <w:rPr>
          <w:rFonts w:hint="eastAsia"/>
        </w:rPr>
        <w:t>4.5.1.2悬架系统要求</w:t>
      </w:r>
      <w:bookmarkEnd w:id="62"/>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悬架模型应包括弹簧、阻尼、缓冲器和稳定器，采用力特性和K&amp;C特性输入的方式建立，为便于用户设置，K&amp;C特性可通过单变量曲线输入，同时能够输入详细的减震器、阻尼，弹簧刚度，稳定杆刚度，限位块刚度和阻尼等，并提供外部力接口。悬架模型应具有以下特性：</w:t>
      </w:r>
    </w:p>
    <w:p>
      <w:pPr>
        <w:pStyle w:val="149"/>
        <w:numPr>
          <w:ilvl w:val="0"/>
          <w:numId w:val="0"/>
        </w:numPr>
        <w:spacing w:line="360" w:lineRule="auto"/>
        <w:ind w:left="480"/>
      </w:pPr>
      <w:r>
        <w:rPr>
          <w:rFonts w:hint="eastAsia"/>
        </w:rPr>
        <w:t>1）线性、非线性描述部件特性；</w:t>
      </w:r>
      <w:r>
        <w:t xml:space="preserve"> </w:t>
      </w:r>
    </w:p>
    <w:p>
      <w:pPr>
        <w:pStyle w:val="149"/>
        <w:numPr>
          <w:ilvl w:val="0"/>
          <w:numId w:val="0"/>
        </w:numPr>
        <w:spacing w:line="360" w:lineRule="auto"/>
        <w:ind w:left="480"/>
      </w:pPr>
      <w:r>
        <w:rPr>
          <w:rFonts w:hint="eastAsia"/>
        </w:rPr>
        <w:t>2）载荷组合工况</w:t>
      </w:r>
      <w:r>
        <w:t>(</w:t>
      </w:r>
      <w:r>
        <w:rPr>
          <w:rFonts w:hint="eastAsia"/>
        </w:rPr>
        <w:t>如转向</w:t>
      </w:r>
      <w:r>
        <w:t>+</w:t>
      </w:r>
      <w:r>
        <w:rPr>
          <w:rFonts w:hint="eastAsia"/>
        </w:rPr>
        <w:t>车身压缩</w:t>
      </w:r>
      <w:r>
        <w:t>)</w:t>
      </w:r>
      <w:r>
        <w:rPr>
          <w:rFonts w:hint="eastAsia"/>
        </w:rPr>
        <w:t>；</w:t>
      </w:r>
    </w:p>
    <w:p>
      <w:pPr>
        <w:pStyle w:val="149"/>
        <w:numPr>
          <w:ilvl w:val="0"/>
          <w:numId w:val="0"/>
        </w:numPr>
        <w:spacing w:line="360" w:lineRule="auto"/>
        <w:ind w:left="480"/>
      </w:pPr>
      <w:r>
        <w:rPr>
          <w:rFonts w:hint="eastAsia"/>
        </w:rPr>
        <w:t>3）</w:t>
      </w:r>
      <w:r>
        <w:t>K&amp;C</w:t>
      </w:r>
      <w:r>
        <w:rPr>
          <w:rFonts w:hint="eastAsia"/>
        </w:rPr>
        <w:t>参数可选；</w:t>
      </w:r>
    </w:p>
    <w:p>
      <w:pPr>
        <w:pStyle w:val="149"/>
        <w:numPr>
          <w:ilvl w:val="0"/>
          <w:numId w:val="0"/>
        </w:numPr>
        <w:spacing w:line="360" w:lineRule="auto"/>
        <w:ind w:left="480"/>
      </w:pPr>
      <w:r>
        <w:rPr>
          <w:rFonts w:hint="eastAsia"/>
        </w:rPr>
        <w:t>4）阻尼、弹簧、减震、稳定器、外部力；</w:t>
      </w:r>
    </w:p>
    <w:p>
      <w:pPr>
        <w:pStyle w:val="149"/>
        <w:numPr>
          <w:ilvl w:val="0"/>
          <w:numId w:val="0"/>
        </w:numPr>
        <w:spacing w:line="360" w:lineRule="auto"/>
        <w:ind w:left="480"/>
      </w:pPr>
      <w:r>
        <w:rPr>
          <w:rFonts w:hint="eastAsia"/>
        </w:rPr>
        <w:t>5）举升效应自动参数化；</w:t>
      </w:r>
    </w:p>
    <w:p>
      <w:pPr>
        <w:pStyle w:val="149"/>
        <w:numPr>
          <w:ilvl w:val="0"/>
          <w:numId w:val="0"/>
        </w:numPr>
        <w:spacing w:line="360" w:lineRule="auto"/>
        <w:ind w:left="480"/>
      </w:pPr>
      <w:r>
        <w:rPr>
          <w:rFonts w:hint="eastAsia"/>
        </w:rPr>
        <w:t>6）通过参数化缓冲实现局部刚性特性；</w:t>
      </w:r>
      <w:r>
        <w:t xml:space="preserve"> </w:t>
      </w:r>
    </w:p>
    <w:p>
      <w:pPr>
        <w:pStyle w:val="149"/>
        <w:numPr>
          <w:ilvl w:val="0"/>
          <w:numId w:val="0"/>
        </w:numPr>
        <w:spacing w:line="360" w:lineRule="auto"/>
        <w:ind w:left="480"/>
      </w:pPr>
      <w:r>
        <w:rPr>
          <w:rFonts w:hint="eastAsia"/>
        </w:rPr>
        <w:t>7）通过阻尼设置实现车轴动态行为。</w:t>
      </w:r>
      <w:r>
        <w:t xml:space="preserve"> </w:t>
      </w:r>
    </w:p>
    <w:p>
      <w:pPr>
        <w:pStyle w:val="150"/>
        <w:numPr>
          <w:ilvl w:val="0"/>
          <w:numId w:val="0"/>
        </w:numPr>
        <w:ind w:left="850" w:hanging="850"/>
        <w:outlineLvl w:val="5"/>
      </w:pPr>
      <w:bookmarkStart w:id="63" w:name="_Toc152279005"/>
      <w:r>
        <w:rPr>
          <w:rFonts w:hint="eastAsia"/>
        </w:rPr>
        <w:t>4.5.1.3转向系统要求</w:t>
      </w:r>
      <w:bookmarkEnd w:id="63"/>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软件应提供参数驱动转向模型，包括方向盘转角输入以及机械系统和转向助力系统详细描述的转向模型。</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转向系统中的转向机械，转向助力系统，转向控制等部分应可进行详细的参数化建模，转向机械模型包括方向盘，转向柱，循环球减速器，液压助力器，转向拉杆刚度和阻尼等方面的因素都应予以详细考虑。</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同时转向系统应考虑主销的影响，主销参数，包括内倾角、外倾角等均可进行配置。</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支持前轴转向，双轴转向。</w:t>
      </w:r>
    </w:p>
    <w:p>
      <w:pPr>
        <w:pStyle w:val="150"/>
        <w:numPr>
          <w:ilvl w:val="0"/>
          <w:numId w:val="0"/>
        </w:numPr>
        <w:ind w:left="850" w:hanging="850"/>
        <w:outlineLvl w:val="5"/>
      </w:pPr>
      <w:bookmarkStart w:id="64" w:name="_Toc152279006"/>
      <w:r>
        <w:rPr>
          <w:rFonts w:hint="eastAsia"/>
        </w:rPr>
        <w:t>4.5.1.4制动系统</w:t>
      </w:r>
      <w:bookmarkEnd w:id="64"/>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软件应提供参数化的通用制动系统，同时提供了两种形式的制动盘：制动鼓式和制动盘式模型。模型可设置参数应包括：</w:t>
      </w:r>
    </w:p>
    <w:p>
      <w:pPr>
        <w:pStyle w:val="149"/>
        <w:numPr>
          <w:ilvl w:val="0"/>
          <w:numId w:val="0"/>
        </w:numPr>
        <w:spacing w:line="360" w:lineRule="auto"/>
        <w:ind w:firstLine="480" w:firstLineChars="200"/>
      </w:pPr>
      <w:r>
        <w:rPr>
          <w:rFonts w:hint="eastAsia"/>
        </w:rPr>
        <w:t>1）制动踏板与轮缸压力关系曲线；</w:t>
      </w:r>
    </w:p>
    <w:p>
      <w:pPr>
        <w:pStyle w:val="149"/>
        <w:numPr>
          <w:ilvl w:val="0"/>
          <w:numId w:val="0"/>
        </w:numPr>
        <w:spacing w:line="360" w:lineRule="auto"/>
        <w:ind w:firstLine="480" w:firstLineChars="200"/>
      </w:pPr>
      <w:r>
        <w:rPr>
          <w:rFonts w:hint="eastAsia"/>
        </w:rPr>
        <w:t>2）表格参数化制动盘模型：四轮缸压力到轮胎制定扭矩关系曲线；</w:t>
      </w:r>
    </w:p>
    <w:p>
      <w:pPr>
        <w:pStyle w:val="149"/>
        <w:numPr>
          <w:ilvl w:val="0"/>
          <w:numId w:val="0"/>
        </w:numPr>
        <w:spacing w:line="360" w:lineRule="auto"/>
        <w:ind w:firstLine="480" w:firstLineChars="200"/>
      </w:pPr>
      <w:r>
        <w:rPr>
          <w:rFonts w:hint="eastAsia"/>
        </w:rPr>
        <w:t>3）钳式制动盘模型：制动面积、制动效率、摩擦系数等。</w:t>
      </w:r>
    </w:p>
    <w:p>
      <w:pPr>
        <w:pStyle w:val="150"/>
        <w:numPr>
          <w:ilvl w:val="0"/>
          <w:numId w:val="0"/>
        </w:numPr>
        <w:ind w:left="850" w:hanging="850"/>
        <w:outlineLvl w:val="5"/>
      </w:pPr>
      <w:bookmarkStart w:id="65" w:name="_Toc152279007"/>
      <w:r>
        <w:rPr>
          <w:rFonts w:hint="eastAsia"/>
        </w:rPr>
        <w:t>4.5.1.5动力和传动系统</w:t>
      </w:r>
      <w:bookmarkEnd w:id="65"/>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至少两种形式的动力和传动系统：纯油、混动模式。其中纯油动力传动系统应包括：起动机、发动机、离合器、液力变矩器、变速箱和包含差速器的传动系统；混动动力和传动系统应包括电机、变速箱和传动系统。动力和传动系统应具备如下特性：</w:t>
      </w:r>
    </w:p>
    <w:p>
      <w:pPr>
        <w:pStyle w:val="149"/>
        <w:numPr>
          <w:ilvl w:val="0"/>
          <w:numId w:val="0"/>
        </w:numPr>
        <w:spacing w:line="360" w:lineRule="auto"/>
        <w:ind w:firstLine="480" w:firstLineChars="200"/>
      </w:pPr>
      <w:r>
        <w:rPr>
          <w:rFonts w:hint="eastAsia"/>
        </w:rPr>
        <w:t>1）可选择动力传动系统模式（纯油、纯电、</w:t>
      </w:r>
      <w:r>
        <w:rPr>
          <w:rFonts w:hint="eastAsia"/>
          <w:color w:val="FF0000"/>
        </w:rPr>
        <w:t>串联/</w:t>
      </w:r>
      <w:r>
        <w:rPr>
          <w:rFonts w:hint="eastAsia"/>
        </w:rPr>
        <w:t>并联混动）；</w:t>
      </w:r>
    </w:p>
    <w:p>
      <w:pPr>
        <w:pStyle w:val="149"/>
        <w:numPr>
          <w:ilvl w:val="0"/>
          <w:numId w:val="0"/>
        </w:numPr>
        <w:spacing w:line="360" w:lineRule="auto"/>
        <w:ind w:firstLine="480" w:firstLineChars="200"/>
      </w:pPr>
      <w:r>
        <w:rPr>
          <w:rFonts w:hint="eastAsia"/>
        </w:rPr>
        <w:t>2）发动机可设置map；</w:t>
      </w:r>
    </w:p>
    <w:p>
      <w:pPr>
        <w:pStyle w:val="149"/>
        <w:numPr>
          <w:ilvl w:val="0"/>
          <w:numId w:val="0"/>
        </w:numPr>
        <w:spacing w:line="360" w:lineRule="auto"/>
        <w:ind w:firstLine="480" w:firstLineChars="200"/>
      </w:pPr>
      <w:r>
        <w:rPr>
          <w:rFonts w:hint="eastAsia"/>
        </w:rPr>
        <w:t>3）离合器为液力变矩器</w:t>
      </w:r>
      <w:r>
        <w:rPr>
          <w:rFonts w:hint="eastAsia"/>
          <w:color w:val="FF0000"/>
        </w:rPr>
        <w:t>或干式摩擦片离合器</w:t>
      </w:r>
      <w:r>
        <w:rPr>
          <w:rFonts w:hint="eastAsia"/>
        </w:rPr>
        <w:t>；</w:t>
      </w:r>
    </w:p>
    <w:p>
      <w:pPr>
        <w:pStyle w:val="149"/>
        <w:numPr>
          <w:ilvl w:val="0"/>
          <w:numId w:val="0"/>
        </w:numPr>
        <w:spacing w:line="360" w:lineRule="auto"/>
        <w:ind w:firstLine="480" w:firstLineChars="200"/>
      </w:pPr>
      <w:r>
        <w:rPr>
          <w:rFonts w:hint="eastAsia"/>
        </w:rPr>
        <w:t>4）变速箱模型为自动变速箱；</w:t>
      </w:r>
    </w:p>
    <w:p>
      <w:pPr>
        <w:pStyle w:val="149"/>
        <w:numPr>
          <w:ilvl w:val="0"/>
          <w:numId w:val="0"/>
        </w:numPr>
        <w:spacing w:line="360" w:lineRule="auto"/>
        <w:ind w:firstLine="480" w:firstLineChars="200"/>
      </w:pPr>
      <w:r>
        <w:rPr>
          <w:rFonts w:hint="eastAsia"/>
        </w:rPr>
        <w:t>5）传动系统能够实现前驱、后驱和四驱形式，并可定义差速器；</w:t>
      </w:r>
    </w:p>
    <w:p>
      <w:pPr>
        <w:pStyle w:val="149"/>
        <w:numPr>
          <w:ilvl w:val="0"/>
          <w:numId w:val="0"/>
        </w:numPr>
        <w:spacing w:line="360" w:lineRule="auto"/>
        <w:ind w:firstLine="480" w:firstLineChars="200"/>
      </w:pPr>
      <w:r>
        <w:rPr>
          <w:rFonts w:hint="eastAsia"/>
        </w:rPr>
        <w:t>6）动力和传动系统包含相应的TCU、</w:t>
      </w:r>
      <w:r>
        <w:rPr>
          <w:rFonts w:hint="eastAsia"/>
          <w:color w:val="FF0000"/>
        </w:rPr>
        <w:t>ECU等</w:t>
      </w:r>
      <w:r>
        <w:rPr>
          <w:rFonts w:hint="eastAsia"/>
        </w:rPr>
        <w:t>控制器。</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动力传动模型应支持扩展多种类发送机、变速箱simulink模型，在满足用户通用使用的基础上，一定程度上的实现定制化需求。同时模型可集成用户自定义独立模块，并能够扩展第三方的传动系统模型。</w:t>
      </w:r>
    </w:p>
    <w:p>
      <w:pPr>
        <w:pStyle w:val="150"/>
        <w:numPr>
          <w:ilvl w:val="0"/>
          <w:numId w:val="0"/>
        </w:numPr>
        <w:ind w:left="850" w:hanging="850"/>
        <w:outlineLvl w:val="5"/>
      </w:pPr>
      <w:bookmarkStart w:id="66" w:name="_Toc152279008"/>
      <w:r>
        <w:rPr>
          <w:rFonts w:hint="eastAsia"/>
        </w:rPr>
        <w:t>4.5.1.6轮胎模型技术要求</w:t>
      </w:r>
      <w:bookmarkEnd w:id="66"/>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轮胎特性曲线输入方式和一般魔术公式的轮胎模型，轮胎特性曲线输入方式可由用户配置轮胎特性曲线，包括横向力、纵向力和回正力矩曲线；魔术公式轮胎模型可由用户进行魔术轮胎参数配置。模型应支持：</w:t>
      </w:r>
    </w:p>
    <w:p>
      <w:pPr>
        <w:pStyle w:val="149"/>
        <w:numPr>
          <w:ilvl w:val="0"/>
          <w:numId w:val="0"/>
        </w:numPr>
        <w:spacing w:line="360" w:lineRule="auto"/>
        <w:ind w:firstLine="480" w:firstLineChars="200"/>
      </w:pPr>
      <w:r>
        <w:rPr>
          <w:rFonts w:hint="eastAsia"/>
        </w:rPr>
        <w:t>1）用户轮胎特性曲线导入；</w:t>
      </w:r>
    </w:p>
    <w:p>
      <w:pPr>
        <w:pStyle w:val="149"/>
        <w:numPr>
          <w:ilvl w:val="0"/>
          <w:numId w:val="0"/>
        </w:numPr>
        <w:spacing w:line="360" w:lineRule="auto"/>
        <w:ind w:firstLine="480" w:firstLineChars="200"/>
      </w:pPr>
      <w:r>
        <w:rPr>
          <w:rFonts w:hint="eastAsia"/>
        </w:rPr>
        <w:t>2）用于3D道路环境仿真；</w:t>
      </w:r>
    </w:p>
    <w:p>
      <w:pPr>
        <w:pStyle w:val="149"/>
        <w:numPr>
          <w:ilvl w:val="0"/>
          <w:numId w:val="0"/>
        </w:numPr>
        <w:spacing w:line="360" w:lineRule="auto"/>
        <w:ind w:firstLine="480" w:firstLineChars="200"/>
      </w:pPr>
      <w:r>
        <w:rPr>
          <w:rFonts w:hint="eastAsia"/>
        </w:rPr>
        <w:t>3）基于物体分析功能：结合纵向力和侧向力以及动力学行为。</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67" w:name="_Toc27438"/>
      <w:bookmarkStart w:id="68" w:name="_Toc152279009"/>
      <w:r>
        <w:rPr>
          <w:rFonts w:hint="eastAsia" w:ascii="Times New Roman" w:hAnsi="Times New Roman" w:eastAsia="宋体" w:cs="Times New Roman"/>
          <w:sz w:val="24"/>
          <w:szCs w:val="24"/>
        </w:rPr>
        <w:t>4.5.2驾驶操纵及驾驶员模型</w:t>
      </w:r>
      <w:bookmarkEnd w:id="67"/>
      <w:r>
        <w:rPr>
          <w:rFonts w:hint="eastAsia" w:ascii="Times New Roman" w:hAnsi="Times New Roman" w:eastAsia="宋体" w:cs="Times New Roman"/>
          <w:sz w:val="24"/>
          <w:szCs w:val="24"/>
        </w:rPr>
        <w:t>要求</w:t>
      </w:r>
      <w:bookmarkEnd w:id="68"/>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软件驾驶操纵模型应能够实现车辆开闭环测试，并且能够单独对车辆的横向和纵向进行单独开闭环配置，至少包括：</w:t>
      </w:r>
    </w:p>
    <w:p>
      <w:pPr>
        <w:pStyle w:val="149"/>
        <w:numPr>
          <w:ilvl w:val="0"/>
          <w:numId w:val="0"/>
        </w:numPr>
        <w:spacing w:line="360" w:lineRule="auto"/>
        <w:ind w:firstLine="480" w:firstLineChars="200"/>
      </w:pPr>
      <w:r>
        <w:rPr>
          <w:rFonts w:hint="eastAsia"/>
        </w:rPr>
        <w:t>1）纵向开环设置：加速踏板设置、制动踏板设置、加速度大小设置；</w:t>
      </w:r>
    </w:p>
    <w:p>
      <w:pPr>
        <w:pStyle w:val="149"/>
        <w:numPr>
          <w:ilvl w:val="0"/>
          <w:numId w:val="0"/>
        </w:numPr>
        <w:spacing w:line="360" w:lineRule="auto"/>
        <w:ind w:firstLine="480" w:firstLineChars="200"/>
      </w:pPr>
      <w:r>
        <w:rPr>
          <w:rFonts w:hint="eastAsia"/>
        </w:rPr>
        <w:t>2）纵向闭环设置：恒定车速设置；</w:t>
      </w:r>
    </w:p>
    <w:p>
      <w:pPr>
        <w:pStyle w:val="149"/>
        <w:numPr>
          <w:ilvl w:val="0"/>
          <w:numId w:val="0"/>
        </w:numPr>
        <w:spacing w:line="360" w:lineRule="auto"/>
        <w:ind w:firstLine="480" w:firstLineChars="200"/>
      </w:pPr>
      <w:r>
        <w:rPr>
          <w:rFonts w:hint="eastAsia"/>
        </w:rPr>
        <w:t>3）横向开环设置：转角大小设置；</w:t>
      </w:r>
    </w:p>
    <w:p>
      <w:pPr>
        <w:pStyle w:val="149"/>
        <w:numPr>
          <w:ilvl w:val="0"/>
          <w:numId w:val="0"/>
        </w:numPr>
        <w:spacing w:line="360" w:lineRule="auto"/>
        <w:ind w:firstLine="480" w:firstLineChars="200"/>
      </w:pPr>
      <w:r>
        <w:rPr>
          <w:rFonts w:hint="eastAsia"/>
        </w:rPr>
        <w:t>4）横向闭环设置：行驶路径选择、行驶路径偏移设置、行驶路径自定义设置等；</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软件应能实现不同开闭环组合驾驶工况，可覆盖国标规定的车辆性能测试场景，包括双移线、鱼钩、蛇形等。</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69" w:name="_Toc152279010"/>
      <w:r>
        <w:rPr>
          <w:rFonts w:hint="eastAsia" w:ascii="Times New Roman" w:hAnsi="Times New Roman" w:eastAsia="宋体" w:cs="Times New Roman"/>
          <w:sz w:val="24"/>
          <w:szCs w:val="24"/>
        </w:rPr>
        <w:t>4.5.3动画渲染要求</w:t>
      </w:r>
      <w:bookmarkEnd w:id="69"/>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软件动画仿真应能提供极其逼真的环境动画，至少包括：</w:t>
      </w:r>
    </w:p>
    <w:p>
      <w:pPr>
        <w:pStyle w:val="149"/>
        <w:numPr>
          <w:ilvl w:val="0"/>
          <w:numId w:val="0"/>
        </w:numPr>
        <w:spacing w:line="360" w:lineRule="auto"/>
        <w:ind w:firstLine="480" w:firstLineChars="200"/>
      </w:pPr>
      <w:r>
        <w:rPr>
          <w:rFonts w:hint="eastAsia"/>
        </w:rPr>
        <w:t>1）逼真的建筑物、树木、草地等环境物体；</w:t>
      </w:r>
    </w:p>
    <w:p>
      <w:pPr>
        <w:pStyle w:val="149"/>
        <w:numPr>
          <w:ilvl w:val="0"/>
          <w:numId w:val="0"/>
        </w:numPr>
        <w:spacing w:line="360" w:lineRule="auto"/>
        <w:ind w:firstLine="480" w:firstLineChars="200"/>
      </w:pPr>
      <w:r>
        <w:rPr>
          <w:rFonts w:hint="eastAsia"/>
        </w:rPr>
        <w:t>2）实际道路模拟，包括车道线、路沿；</w:t>
      </w:r>
    </w:p>
    <w:p>
      <w:pPr>
        <w:pStyle w:val="149"/>
        <w:numPr>
          <w:ilvl w:val="0"/>
          <w:numId w:val="0"/>
        </w:numPr>
        <w:spacing w:line="360" w:lineRule="auto"/>
        <w:ind w:firstLine="480" w:firstLineChars="200"/>
      </w:pPr>
      <w:r>
        <w:rPr>
          <w:rFonts w:hint="eastAsia"/>
        </w:rPr>
        <w:t>3）渲染物体实时光影效果。</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同时软件动画场景应可以实现视角添加和删除，以及通过鼠标实现快速缩放以及旋转功能、设置</w:t>
      </w:r>
      <w:r>
        <w:rPr>
          <w:rFonts w:ascii="Times New Roman" w:hAnsi="Times New Roman" w:eastAsia="宋体"/>
        </w:rPr>
        <w:t>Offset (x,y,z)</w:t>
      </w:r>
      <w:r>
        <w:rPr>
          <w:rFonts w:hint="eastAsia" w:ascii="Times New Roman" w:hAnsi="Times New Roman" w:eastAsia="宋体"/>
        </w:rPr>
        <w:t>、用户自定义默认视角、固定以及移动摄像机、在车内随着车体一起移动。</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软件场景应提供动画场景数据保存功能，动画场景能够根据保存的动画场景数据进行实时渲染，能够保证复现车辆运行的状态，更好的帮助用户发现算法试验中的问题。</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70" w:name="_Toc152279011"/>
      <w:r>
        <w:rPr>
          <w:rFonts w:hint="eastAsia" w:ascii="Times New Roman" w:hAnsi="Times New Roman" w:eastAsia="宋体" w:cs="Times New Roman"/>
          <w:sz w:val="24"/>
          <w:szCs w:val="24"/>
        </w:rPr>
        <w:t>4.5.4道路编辑器要求</w:t>
      </w:r>
      <w:bookmarkEnd w:id="70"/>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软件的道路编辑系统应基于OpenDrive或其他系统开发，并根据中国实际交通情况以及智能驾驶对高精地图的实际需求做适应性调整。用户应可以自己根据测试需求绘制道路，也可以直接导入OpenDrive地图。</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地图编辑器应具备如下特性：</w:t>
      </w:r>
    </w:p>
    <w:p>
      <w:pPr>
        <w:pStyle w:val="149"/>
        <w:numPr>
          <w:ilvl w:val="0"/>
          <w:numId w:val="0"/>
        </w:numPr>
        <w:spacing w:line="360" w:lineRule="auto"/>
        <w:ind w:firstLine="480" w:firstLineChars="200"/>
      </w:pPr>
      <w:r>
        <w:rPr>
          <w:rFonts w:hint="eastAsia"/>
        </w:rPr>
        <w:t>1）易于掌握及结构布置规范的GUI；</w:t>
      </w:r>
    </w:p>
    <w:p>
      <w:pPr>
        <w:pStyle w:val="149"/>
        <w:numPr>
          <w:ilvl w:val="0"/>
          <w:numId w:val="0"/>
        </w:numPr>
        <w:spacing w:line="360" w:lineRule="auto"/>
        <w:ind w:firstLine="480" w:firstLineChars="200"/>
      </w:pPr>
      <w:r>
        <w:rPr>
          <w:rFonts w:hint="eastAsia"/>
        </w:rPr>
        <w:t>2）基于</w:t>
      </w:r>
      <w:r>
        <w:t>OpenDrive</w:t>
      </w:r>
      <w:r>
        <w:rPr>
          <w:rFonts w:hint="eastAsia"/>
        </w:rPr>
        <w:t>标准；</w:t>
      </w:r>
    </w:p>
    <w:p>
      <w:pPr>
        <w:pStyle w:val="149"/>
        <w:numPr>
          <w:ilvl w:val="0"/>
          <w:numId w:val="0"/>
        </w:numPr>
        <w:spacing w:line="360" w:lineRule="auto"/>
        <w:ind w:firstLine="480" w:firstLineChars="200"/>
      </w:pPr>
      <w:r>
        <w:rPr>
          <w:rFonts w:hint="eastAsia"/>
        </w:rPr>
        <w:t>3）可以导入OpenDrive文件并且在二维平面显示，可以显示车道线、车道、交通苦口、交通标志等信息、道路高程等信息；</w:t>
      </w:r>
    </w:p>
    <w:p>
      <w:pPr>
        <w:pStyle w:val="149"/>
        <w:numPr>
          <w:ilvl w:val="0"/>
          <w:numId w:val="0"/>
        </w:numPr>
        <w:spacing w:line="360" w:lineRule="auto"/>
        <w:ind w:firstLine="480" w:firstLineChars="200"/>
      </w:pPr>
      <w:r>
        <w:rPr>
          <w:rFonts w:hint="eastAsia"/>
        </w:rPr>
        <w:t>4）可以通过鼠标滚轮实现地图的放大、缩小、平移；</w:t>
      </w:r>
    </w:p>
    <w:p>
      <w:pPr>
        <w:pStyle w:val="149"/>
        <w:numPr>
          <w:ilvl w:val="0"/>
          <w:numId w:val="0"/>
        </w:numPr>
        <w:spacing w:line="360" w:lineRule="auto"/>
        <w:ind w:firstLine="480" w:firstLineChars="200"/>
      </w:pPr>
      <w:r>
        <w:rPr>
          <w:rFonts w:hint="eastAsia"/>
        </w:rPr>
        <w:t>5）通过鼠标点击创建道路，包括直线、圆弧、三次样条形状道路；</w:t>
      </w:r>
    </w:p>
    <w:p>
      <w:pPr>
        <w:pStyle w:val="149"/>
        <w:numPr>
          <w:ilvl w:val="0"/>
          <w:numId w:val="0"/>
        </w:numPr>
        <w:spacing w:line="360" w:lineRule="auto"/>
        <w:ind w:firstLine="480" w:firstLineChars="200"/>
      </w:pPr>
      <w:r>
        <w:rPr>
          <w:rFonts w:hint="eastAsia"/>
        </w:rPr>
        <w:t>6）可以在已有道路的终点添加geometry，包括直线、圆弧、三次样条；</w:t>
      </w:r>
    </w:p>
    <w:p>
      <w:pPr>
        <w:pStyle w:val="149"/>
        <w:numPr>
          <w:ilvl w:val="0"/>
          <w:numId w:val="0"/>
        </w:numPr>
        <w:spacing w:line="360" w:lineRule="auto"/>
        <w:ind w:firstLine="480" w:firstLineChars="200"/>
      </w:pPr>
      <w:r>
        <w:rPr>
          <w:rFonts w:hint="eastAsia"/>
        </w:rPr>
        <w:t>7）可以平滑连接两条道路，连接道路线型包括直线、圆弧、三次样条、螺旋曲线；</w:t>
      </w:r>
    </w:p>
    <w:p>
      <w:pPr>
        <w:pStyle w:val="149"/>
        <w:numPr>
          <w:ilvl w:val="0"/>
          <w:numId w:val="0"/>
        </w:numPr>
        <w:spacing w:line="360" w:lineRule="auto"/>
        <w:ind w:firstLine="480" w:firstLineChars="200"/>
      </w:pPr>
      <w:r>
        <w:rPr>
          <w:rFonts w:hint="eastAsia"/>
        </w:rPr>
        <w:t>8）可以在道路上添加交通信号、交通物体、隧道、桥梁等；</w:t>
      </w:r>
    </w:p>
    <w:p>
      <w:pPr>
        <w:pStyle w:val="149"/>
        <w:numPr>
          <w:ilvl w:val="0"/>
          <w:numId w:val="0"/>
        </w:numPr>
        <w:spacing w:line="360" w:lineRule="auto"/>
        <w:ind w:firstLine="480" w:firstLineChars="200"/>
      </w:pPr>
      <w:r>
        <w:rPr>
          <w:rFonts w:hint="eastAsia"/>
        </w:rPr>
        <w:t>9）可以任意创建交通路口，添加输入输出道路，并对输入输出道路之间的连接关系进行设置；</w:t>
      </w:r>
    </w:p>
    <w:p>
      <w:pPr>
        <w:pStyle w:val="149"/>
        <w:numPr>
          <w:ilvl w:val="0"/>
          <w:numId w:val="0"/>
        </w:numPr>
        <w:spacing w:line="360" w:lineRule="auto"/>
        <w:ind w:firstLine="480" w:firstLineChars="200"/>
      </w:pPr>
      <w:r>
        <w:rPr>
          <w:rFonts w:hint="eastAsia"/>
        </w:rPr>
        <w:t>10）选中某一条路，可以查看道路参数并进行修改，道路参数维度包含track、type、elevation、superelevation、crossfall、lane、signal；</w:t>
      </w:r>
    </w:p>
    <w:p>
      <w:pPr>
        <w:pStyle w:val="149"/>
        <w:numPr>
          <w:ilvl w:val="0"/>
          <w:numId w:val="0"/>
        </w:numPr>
        <w:spacing w:line="360" w:lineRule="auto"/>
        <w:ind w:firstLine="480" w:firstLineChars="200"/>
      </w:pPr>
      <w:r>
        <w:rPr>
          <w:rFonts w:hint="eastAsia"/>
        </w:rPr>
        <w:t>11）选中某一个交通路口，可以查看交通路口的连接关系并进行修改；</w:t>
      </w:r>
    </w:p>
    <w:p>
      <w:pPr>
        <w:pStyle w:val="149"/>
        <w:numPr>
          <w:ilvl w:val="0"/>
          <w:numId w:val="0"/>
        </w:numPr>
        <w:spacing w:line="360" w:lineRule="auto"/>
        <w:ind w:firstLine="480" w:firstLineChars="200"/>
      </w:pPr>
      <w:r>
        <w:rPr>
          <w:rFonts w:hint="eastAsia"/>
        </w:rPr>
        <w:t>12）具备撤销回退功能；</w:t>
      </w:r>
    </w:p>
    <w:p>
      <w:pPr>
        <w:pStyle w:val="149"/>
        <w:numPr>
          <w:ilvl w:val="0"/>
          <w:numId w:val="0"/>
        </w:numPr>
        <w:spacing w:line="360" w:lineRule="auto"/>
        <w:ind w:firstLine="480" w:firstLineChars="200"/>
      </w:pPr>
      <w:r>
        <w:rPr>
          <w:rFonts w:hint="eastAsia"/>
        </w:rPr>
        <w:t>13）可以对编辑好的道路进行3D预览；</w:t>
      </w:r>
    </w:p>
    <w:p>
      <w:pPr>
        <w:pStyle w:val="149"/>
        <w:numPr>
          <w:ilvl w:val="0"/>
          <w:numId w:val="0"/>
        </w:numPr>
        <w:spacing w:line="360" w:lineRule="auto"/>
        <w:ind w:firstLine="480" w:firstLineChars="200"/>
      </w:pPr>
      <w:r>
        <w:rPr>
          <w:rFonts w:hint="eastAsia"/>
        </w:rPr>
        <w:t>14）用户可导入自定义交通标志；</w:t>
      </w:r>
    </w:p>
    <w:p>
      <w:pPr>
        <w:pStyle w:val="149"/>
        <w:numPr>
          <w:ilvl w:val="0"/>
          <w:numId w:val="0"/>
        </w:numPr>
        <w:spacing w:line="360" w:lineRule="auto"/>
        <w:ind w:firstLine="480" w:firstLineChars="200"/>
      </w:pPr>
      <w:r>
        <w:rPr>
          <w:rFonts w:hint="eastAsia"/>
        </w:rPr>
        <w:t>15）用户可导入自定义道路模板。</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4.6其他模型要求</w:t>
      </w:r>
    </w:p>
    <w:p>
      <w:pPr>
        <w:pStyle w:val="151"/>
        <w:numPr>
          <w:ilvl w:val="0"/>
          <w:numId w:val="0"/>
        </w:numPr>
        <w:ind w:left="709" w:hanging="709"/>
        <w:outlineLvl w:val="4"/>
      </w:pPr>
      <w:r>
        <w:rPr>
          <w:rFonts w:hint="eastAsia"/>
        </w:rPr>
        <w:t>4.6.1气压模型要求</w:t>
      </w:r>
    </w:p>
    <w:p>
      <w:pPr>
        <w:pStyle w:val="149"/>
        <w:numPr>
          <w:ilvl w:val="0"/>
          <w:numId w:val="0"/>
        </w:numPr>
        <w:spacing w:line="360" w:lineRule="auto"/>
        <w:ind w:firstLine="480" w:firstLineChars="200"/>
      </w:pPr>
      <w:r>
        <w:rPr>
          <w:rFonts w:hint="eastAsia"/>
        </w:rPr>
        <w:t>1）应包含阀模型、管路模型、轮腔模型；</w:t>
      </w:r>
    </w:p>
    <w:p>
      <w:pPr>
        <w:pStyle w:val="149"/>
        <w:numPr>
          <w:ilvl w:val="0"/>
          <w:numId w:val="0"/>
        </w:numPr>
        <w:spacing w:line="360" w:lineRule="auto"/>
        <w:ind w:firstLine="480" w:firstLineChars="200"/>
      </w:pPr>
      <w:r>
        <w:rPr>
          <w:rFonts w:hint="eastAsia"/>
        </w:rPr>
        <w:t>2）模型参数可以在线配置；</w:t>
      </w:r>
    </w:p>
    <w:p>
      <w:pPr>
        <w:pStyle w:val="149"/>
        <w:numPr>
          <w:ilvl w:val="0"/>
          <w:numId w:val="0"/>
        </w:numPr>
        <w:spacing w:line="360" w:lineRule="auto"/>
        <w:ind w:firstLine="480" w:firstLineChars="200"/>
      </w:pPr>
      <w:r>
        <w:rPr>
          <w:rFonts w:hint="eastAsia"/>
        </w:rPr>
        <w:t>3）能够反映不同管路长度对建压响应时间的影响；</w:t>
      </w:r>
    </w:p>
    <w:p>
      <w:pPr>
        <w:pStyle w:val="149"/>
        <w:numPr>
          <w:ilvl w:val="0"/>
          <w:numId w:val="0"/>
        </w:numPr>
        <w:spacing w:line="360" w:lineRule="auto"/>
        <w:ind w:firstLine="480" w:firstLineChars="200"/>
      </w:pPr>
      <w:r>
        <w:rPr>
          <w:rFonts w:hint="eastAsia"/>
        </w:rPr>
        <w:t>4）能够匹配不同的轮腔容积；</w:t>
      </w:r>
    </w:p>
    <w:p>
      <w:pPr>
        <w:pStyle w:val="149"/>
        <w:numPr>
          <w:ilvl w:val="0"/>
          <w:numId w:val="0"/>
        </w:numPr>
        <w:spacing w:line="360" w:lineRule="auto"/>
        <w:ind w:firstLine="480" w:firstLineChars="200"/>
      </w:pPr>
      <w:r>
        <w:rPr>
          <w:rFonts w:hint="eastAsia"/>
        </w:rPr>
        <w:t>5）支持适应不同的气路结构。</w:t>
      </w:r>
    </w:p>
    <w:p>
      <w:pPr>
        <w:pStyle w:val="151"/>
        <w:numPr>
          <w:ilvl w:val="0"/>
          <w:numId w:val="0"/>
        </w:numPr>
        <w:ind w:left="709" w:hanging="709"/>
        <w:outlineLvl w:val="4"/>
      </w:pPr>
      <w:r>
        <w:rPr>
          <w:rFonts w:hint="eastAsia"/>
        </w:rPr>
        <w:t>4.6.2空气悬架模型要求</w:t>
      </w:r>
    </w:p>
    <w:p>
      <w:pPr>
        <w:pStyle w:val="149"/>
        <w:numPr>
          <w:ilvl w:val="0"/>
          <w:numId w:val="0"/>
        </w:numPr>
        <w:spacing w:line="360" w:lineRule="auto"/>
        <w:ind w:firstLine="480" w:firstLineChars="200"/>
      </w:pPr>
      <w:r>
        <w:rPr>
          <w:rFonts w:hint="eastAsia"/>
        </w:rPr>
        <w:t>1）支持适应不同的悬架气路结构；</w:t>
      </w:r>
    </w:p>
    <w:p>
      <w:pPr>
        <w:pStyle w:val="149"/>
        <w:numPr>
          <w:ilvl w:val="0"/>
          <w:numId w:val="0"/>
        </w:numPr>
        <w:spacing w:line="360" w:lineRule="auto"/>
        <w:ind w:firstLine="480" w:firstLineChars="200"/>
      </w:pPr>
      <w:r>
        <w:rPr>
          <w:rFonts w:hint="eastAsia"/>
        </w:rPr>
        <w:t>2）应包含阀模型、管路模型、气囊模型；</w:t>
      </w:r>
    </w:p>
    <w:p>
      <w:pPr>
        <w:pStyle w:val="149"/>
        <w:numPr>
          <w:ilvl w:val="0"/>
          <w:numId w:val="0"/>
        </w:numPr>
        <w:spacing w:line="360" w:lineRule="auto"/>
        <w:ind w:firstLine="480" w:firstLineChars="200"/>
      </w:pPr>
      <w:r>
        <w:rPr>
          <w:rFonts w:hint="eastAsia"/>
        </w:rPr>
        <w:t>3）模型参数可以在线配置；</w:t>
      </w:r>
    </w:p>
    <w:p>
      <w:pPr>
        <w:pStyle w:val="149"/>
        <w:numPr>
          <w:ilvl w:val="0"/>
          <w:numId w:val="0"/>
        </w:numPr>
        <w:spacing w:line="360" w:lineRule="auto"/>
        <w:ind w:firstLine="480" w:firstLineChars="200"/>
      </w:pPr>
      <w:r>
        <w:rPr>
          <w:rFonts w:hint="eastAsia"/>
        </w:rPr>
        <w:t>4）能够反映不同管路长度对建压响应时间的影响；</w:t>
      </w:r>
    </w:p>
    <w:p>
      <w:pPr>
        <w:pStyle w:val="149"/>
        <w:numPr>
          <w:ilvl w:val="0"/>
          <w:numId w:val="0"/>
        </w:numPr>
        <w:spacing w:line="360" w:lineRule="auto"/>
        <w:ind w:firstLine="480" w:firstLineChars="200"/>
      </w:pPr>
      <w:r>
        <w:rPr>
          <w:rFonts w:hint="eastAsia"/>
        </w:rPr>
        <w:t>5）能够匹配不同的气囊容积。</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5 其他设备要求</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5.1上位机电脑要求</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rPr>
        <w:tab/>
      </w:r>
      <w:r>
        <w:rPr>
          <w:rFonts w:hint="eastAsia" w:ascii="宋体" w:hAnsi="宋体" w:eastAsia="宋体" w:cs="宋体"/>
          <w:color w:val="000000"/>
          <w:sz w:val="24"/>
          <w:szCs w:val="24"/>
          <w:lang w:val="en-US" w:eastAsia="zh-CN"/>
        </w:rPr>
        <w:t xml:space="preserve">Ultra </w:t>
      </w: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 xml:space="preserve"> 255HX</w:t>
      </w:r>
      <w:r>
        <w:rPr>
          <w:rFonts w:hint="eastAsia" w:ascii="宋体" w:hAnsi="宋体" w:eastAsia="宋体" w:cs="宋体"/>
          <w:color w:val="000000"/>
          <w:sz w:val="24"/>
          <w:szCs w:val="24"/>
        </w:rPr>
        <w:t>以上处理器；</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rPr>
        <w:tab/>
      </w:r>
      <w:r>
        <w:rPr>
          <w:rFonts w:hint="eastAsia" w:ascii="宋体" w:hAnsi="宋体" w:eastAsia="宋体" w:cs="宋体"/>
          <w:color w:val="000000"/>
          <w:sz w:val="24"/>
          <w:szCs w:val="24"/>
        </w:rPr>
        <w:t>500G以上固态硬盘；</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3）14寸及以上显示屏；</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rPr>
        <w:tab/>
      </w:r>
      <w:r>
        <w:rPr>
          <w:rFonts w:hint="eastAsia" w:ascii="宋体" w:hAnsi="宋体" w:eastAsia="宋体" w:cs="宋体"/>
          <w:color w:val="000000"/>
          <w:sz w:val="24"/>
          <w:szCs w:val="24"/>
        </w:rPr>
        <w:t>16G以上内存；</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rPr>
        <w:tab/>
      </w:r>
      <w:r>
        <w:rPr>
          <w:rFonts w:hint="eastAsia" w:ascii="宋体" w:hAnsi="宋体" w:eastAsia="宋体" w:cs="宋体"/>
          <w:color w:val="000000"/>
          <w:sz w:val="24"/>
          <w:szCs w:val="24"/>
        </w:rPr>
        <w:t>配置至少一块独立显卡，性能不低于GTX 1060；</w:t>
      </w:r>
    </w:p>
    <w:p>
      <w:pPr>
        <w:spacing w:line="360" w:lineRule="auto"/>
        <w:ind w:firstLine="480" w:firstLineChars="200"/>
        <w:outlineLvl w:val="2"/>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6）六台笔记本电脑</w:t>
      </w:r>
      <w:r>
        <w:rPr>
          <w:rFonts w:hint="eastAsia" w:ascii="宋体" w:hAnsi="宋体" w:eastAsia="宋体" w:cs="宋体"/>
          <w:color w:val="000000"/>
          <w:sz w:val="24"/>
          <w:szCs w:val="24"/>
          <w:lang w:eastAsia="zh-CN"/>
        </w:rPr>
        <w:t>；</w:t>
      </w:r>
    </w:p>
    <w:p>
      <w:pPr>
        <w:spacing w:line="360" w:lineRule="auto"/>
        <w:ind w:firstLine="480" w:firstLineChars="200"/>
        <w:outlineLvl w:val="2"/>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7）六台外设27寸及以上显示屏。</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6交钥匙工程服务要求</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6.1硬件系统设计和开发集成</w:t>
      </w:r>
    </w:p>
    <w:p>
      <w:pPr>
        <w:spacing w:line="300" w:lineRule="auto"/>
        <w:ind w:firstLine="480" w:firstLineChars="200"/>
        <w:rPr>
          <w:rFonts w:ascii="Times New Roman" w:hAnsi="Times New Roman" w:eastAsia="宋体"/>
          <w:sz w:val="24"/>
          <w:szCs w:val="24"/>
        </w:rPr>
      </w:pPr>
      <w:bookmarkStart w:id="71" w:name="_Hlk117626123"/>
      <w:r>
        <w:rPr>
          <w:rFonts w:hint="eastAsia" w:ascii="Times New Roman" w:hAnsi="Times New Roman" w:eastAsia="宋体"/>
          <w:sz w:val="24"/>
          <w:szCs w:val="24"/>
        </w:rPr>
        <w:t>中标方应根据招标方提供的待测控制器信息，合理的分配HIL系统的硬件资源，以此设计出HIL系统信号列表，并基于信号列表完成整个硬件系统的集成。</w:t>
      </w:r>
    </w:p>
    <w:p>
      <w:pPr>
        <w:spacing w:line="360" w:lineRule="auto"/>
        <w:outlineLvl w:val="3"/>
        <w:rPr>
          <w:rFonts w:ascii="Times New Roman" w:hAnsi="Times New Roman" w:eastAsia="宋体" w:cs="Times New Roman"/>
          <w:b/>
          <w:bCs/>
          <w:sz w:val="24"/>
          <w:szCs w:val="24"/>
        </w:rPr>
      </w:pPr>
      <w:bookmarkStart w:id="72" w:name="_Toc30687"/>
      <w:r>
        <w:rPr>
          <w:rFonts w:hint="eastAsia" w:ascii="Times New Roman" w:hAnsi="Times New Roman" w:eastAsia="宋体" w:cs="Times New Roman"/>
          <w:b/>
          <w:bCs/>
          <w:sz w:val="24"/>
          <w:szCs w:val="24"/>
        </w:rPr>
        <w:t>6.2  I/O模型开发和配置</w:t>
      </w:r>
      <w:bookmarkEnd w:id="72"/>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上位机I/O模型的开发实现对HIL系统I/O进行准确的配置，开发后的I/O模型应符合下述要求：</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准确实现模型输入、输出与实际物理信号的映射关系；</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准确实现每个物理信号与电信号的对应关系（传感器、执行器）；</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设置信号标签以便于信号跟踪；</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对测试的重点信号设置手动输入开关，可在虚拟操作界面中选择手动输入功能。</w:t>
      </w:r>
    </w:p>
    <w:p>
      <w:pPr>
        <w:spacing w:line="360" w:lineRule="auto"/>
        <w:outlineLvl w:val="3"/>
        <w:rPr>
          <w:rFonts w:ascii="Times New Roman" w:hAnsi="Times New Roman" w:eastAsia="宋体" w:cs="Times New Roman"/>
          <w:b/>
          <w:bCs/>
          <w:sz w:val="24"/>
          <w:szCs w:val="24"/>
        </w:rPr>
      </w:pPr>
      <w:bookmarkStart w:id="73" w:name="_Toc25005"/>
      <w:r>
        <w:rPr>
          <w:rFonts w:hint="eastAsia" w:ascii="Times New Roman" w:hAnsi="Times New Roman" w:eastAsia="宋体" w:cs="Times New Roman"/>
          <w:b/>
          <w:bCs/>
          <w:sz w:val="24"/>
          <w:szCs w:val="24"/>
        </w:rPr>
        <w:t>6.3 车辆模型定制和参数化</w:t>
      </w:r>
      <w:bookmarkEnd w:id="73"/>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中标方根据招标方提供车型的结构，基于车辆标准模型库对车辆各子系统模型进行定制开发，并根据招标方提供的车辆数据对模型进行参数化，使模型可以反映车辆的特性和功能，以满足控制器的测试需求。</w:t>
      </w:r>
    </w:p>
    <w:p>
      <w:pPr>
        <w:spacing w:line="360" w:lineRule="auto"/>
        <w:outlineLvl w:val="3"/>
        <w:rPr>
          <w:rFonts w:ascii="Times New Roman" w:hAnsi="Times New Roman" w:eastAsia="宋体" w:cs="Times New Roman"/>
          <w:b/>
          <w:bCs/>
          <w:sz w:val="24"/>
          <w:szCs w:val="24"/>
        </w:rPr>
      </w:pPr>
      <w:bookmarkStart w:id="74" w:name="_Toc29246"/>
      <w:bookmarkStart w:id="75" w:name="_Toc504663872"/>
      <w:r>
        <w:rPr>
          <w:rFonts w:hint="eastAsia" w:ascii="Times New Roman" w:hAnsi="Times New Roman" w:eastAsia="宋体" w:cs="Times New Roman"/>
          <w:b/>
          <w:bCs/>
          <w:sz w:val="24"/>
          <w:szCs w:val="24"/>
        </w:rPr>
        <w:t>6.4 虚拟控制节点模型开发</w:t>
      </w:r>
      <w:bookmarkEnd w:id="74"/>
      <w:bookmarkEnd w:id="75"/>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对于与待测控制器功能相关的控制节点，中标方应开发相应的虚拟节点模型，实现与待测控制器的交互功能仿真，通过通信板卡发送待测控制器所需的通信报文，满足待测控制器的子系统HIL闭环测试的需要。</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6.5 试验监控界面开发</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投标方基于HIL上位机软件开发具备人机交互功能的试验监控界面，试验监控界面至少包括：</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虚拟驾驶操作界面，允许用户实现基本的驾驶员输入，包括加速踏板、制动踏板、点火钥匙、开关输入等；</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整车模型状态显示和重要参数修改界面；</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传感器状态监控界面，可完成手动信号和模型信号的切换；</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执行机构状态监控界面；</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CAN报文显示和监控界面。</w:t>
      </w:r>
    </w:p>
    <w:p>
      <w:pPr>
        <w:spacing w:line="360" w:lineRule="auto"/>
        <w:outlineLvl w:val="3"/>
        <w:rPr>
          <w:rFonts w:ascii="Times New Roman" w:hAnsi="Times New Roman" w:eastAsia="宋体" w:cs="Times New Roman"/>
          <w:b/>
          <w:bCs/>
          <w:sz w:val="24"/>
          <w:szCs w:val="24"/>
        </w:rPr>
      </w:pPr>
      <w:bookmarkStart w:id="76" w:name="_Toc22994"/>
      <w:bookmarkStart w:id="77" w:name="_Toc504663875"/>
      <w:r>
        <w:rPr>
          <w:rFonts w:hint="eastAsia" w:ascii="Times New Roman" w:hAnsi="Times New Roman" w:eastAsia="宋体" w:cs="Times New Roman"/>
          <w:b/>
          <w:bCs/>
          <w:sz w:val="24"/>
          <w:szCs w:val="24"/>
        </w:rPr>
        <w:t>6.6 系统集成调试</w:t>
      </w:r>
      <w:bookmarkEnd w:id="76"/>
      <w:bookmarkEnd w:id="77"/>
    </w:p>
    <w:p>
      <w:pPr>
        <w:spacing w:line="300" w:lineRule="auto"/>
        <w:ind w:firstLine="480" w:firstLineChars="200"/>
      </w:pPr>
      <w:r>
        <w:rPr>
          <w:rFonts w:hint="eastAsia" w:ascii="Times New Roman" w:hAnsi="Times New Roman" w:eastAsia="宋体"/>
          <w:sz w:val="24"/>
          <w:szCs w:val="24"/>
        </w:rPr>
        <w:t>中标方应将待测控制器与HIL测试系统进行集成并进行调试使之达到终验收中的闭环测试工况要求。</w:t>
      </w:r>
    </w:p>
    <w:bookmarkEnd w:id="71"/>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6.7系统培训</w:t>
      </w:r>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中标方应提供相关培训使得招标方技术人员能理解和掌握系统各部分的原理和结构，达到正确使用和操作，并独立完成各项实验及维修工作。</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7技术培训要求</w:t>
      </w:r>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为了使得设备使用方能够正确使用和操作本设备，</w:t>
      </w:r>
      <w:r>
        <w:rPr>
          <w:rFonts w:hint="eastAsia" w:ascii="Times New Roman" w:hAnsi="Times New Roman" w:eastAsia="宋体" w:cs="Times New Roman"/>
          <w:sz w:val="24"/>
          <w:szCs w:val="24"/>
          <w:highlight w:val="yellow"/>
        </w:rPr>
        <w:t>中标方需提供不少于</w:t>
      </w:r>
      <w:r>
        <w:rPr>
          <w:rFonts w:ascii="Times New Roman" w:hAnsi="Times New Roman" w:eastAsia="宋体" w:cs="Times New Roman"/>
          <w:sz w:val="24"/>
          <w:szCs w:val="24"/>
          <w:highlight w:val="yellow"/>
        </w:rPr>
        <w:t>5</w:t>
      </w:r>
      <w:r>
        <w:rPr>
          <w:rFonts w:hint="eastAsia" w:ascii="Times New Roman" w:hAnsi="Times New Roman" w:eastAsia="宋体" w:cs="Times New Roman"/>
          <w:sz w:val="24"/>
          <w:szCs w:val="24"/>
          <w:highlight w:val="yellow"/>
        </w:rPr>
        <w:t>天的技术</w:t>
      </w:r>
      <w:r>
        <w:rPr>
          <w:rFonts w:hint="eastAsia" w:ascii="Times New Roman" w:hAnsi="Times New Roman" w:eastAsia="宋体" w:cs="Times New Roman"/>
          <w:sz w:val="24"/>
          <w:szCs w:val="24"/>
        </w:rPr>
        <w:t>培训，至少包括如下培训内容：</w:t>
      </w:r>
    </w:p>
    <w:tbl>
      <w:tblPr>
        <w:tblStyle w:val="1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245"/>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00" w:lineRule="auto"/>
              <w:jc w:val="center"/>
              <w:rPr>
                <w:rFonts w:ascii="Times New Roman" w:hAnsi="Times New Roman" w:eastAsia="黑体" w:cs="Times New Roman"/>
                <w:kern w:val="0"/>
                <w:sz w:val="24"/>
                <w:szCs w:val="20"/>
              </w:rPr>
            </w:pPr>
            <w:r>
              <w:rPr>
                <w:rFonts w:hint="eastAsia" w:ascii="Times New Roman" w:hAnsi="Times New Roman" w:eastAsia="黑体" w:cs="Times New Roman"/>
                <w:kern w:val="0"/>
                <w:sz w:val="24"/>
                <w:szCs w:val="20"/>
              </w:rPr>
              <w:t>项目</w:t>
            </w:r>
          </w:p>
        </w:tc>
        <w:tc>
          <w:tcPr>
            <w:tcW w:w="5245" w:type="dxa"/>
          </w:tcPr>
          <w:p>
            <w:pPr>
              <w:spacing w:line="300" w:lineRule="auto"/>
              <w:jc w:val="center"/>
              <w:rPr>
                <w:rFonts w:ascii="Times New Roman" w:hAnsi="Times New Roman" w:eastAsia="黑体" w:cs="Times New Roman"/>
                <w:kern w:val="0"/>
                <w:sz w:val="24"/>
                <w:szCs w:val="20"/>
              </w:rPr>
            </w:pPr>
            <w:r>
              <w:rPr>
                <w:rFonts w:hint="eastAsia" w:ascii="Times New Roman" w:hAnsi="Times New Roman" w:eastAsia="黑体" w:cs="Times New Roman"/>
                <w:kern w:val="0"/>
                <w:sz w:val="24"/>
                <w:szCs w:val="20"/>
              </w:rPr>
              <w:t>培训目标</w:t>
            </w:r>
          </w:p>
        </w:tc>
        <w:tc>
          <w:tcPr>
            <w:tcW w:w="1638" w:type="dxa"/>
          </w:tcPr>
          <w:p>
            <w:pPr>
              <w:spacing w:line="300" w:lineRule="auto"/>
              <w:jc w:val="center"/>
              <w:rPr>
                <w:rFonts w:ascii="Times New Roman" w:hAnsi="Times New Roman" w:eastAsia="黑体" w:cs="Times New Roman"/>
                <w:kern w:val="0"/>
                <w:sz w:val="24"/>
                <w:szCs w:val="20"/>
              </w:rPr>
            </w:pPr>
            <w:r>
              <w:rPr>
                <w:rFonts w:hint="eastAsia" w:ascii="Times New Roman" w:hAnsi="Times New Roman" w:eastAsia="黑体" w:cs="Times New Roman"/>
                <w:kern w:val="0"/>
                <w:sz w:val="24"/>
                <w:szCs w:val="20"/>
              </w:rPr>
              <w:t>培训时间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硬件培训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使用户理解硬件系统结构原理，硬件系统信号列表使用和修改方法，掌握硬件配置更改方法；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软件培训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使用户掌握软件安装方法和使用方法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模型培训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使用户理解模型建模原理，掌握使用方法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系统培训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使用户熟悉本项目HIL系统的操作方法，可以独立进行手动和自动测试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2天</w:t>
            </w:r>
          </w:p>
        </w:tc>
      </w:tr>
    </w:tbl>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8资料的提供</w:t>
      </w:r>
    </w:p>
    <w:p>
      <w:pPr>
        <w:spacing w:line="30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中标方应</w:t>
      </w:r>
      <w:r>
        <w:rPr>
          <w:rFonts w:hint="eastAsia" w:ascii="Times New Roman" w:hAnsi="Times New Roman" w:eastAsia="宋体" w:cs="Times New Roman"/>
          <w:sz w:val="24"/>
          <w:szCs w:val="21"/>
        </w:rPr>
        <w:t>在项目终验收前</w:t>
      </w:r>
      <w:r>
        <w:rPr>
          <w:rFonts w:ascii="Times New Roman" w:hAnsi="Times New Roman" w:eastAsia="宋体" w:cs="Times New Roman"/>
          <w:sz w:val="24"/>
          <w:szCs w:val="21"/>
        </w:rPr>
        <w:t>提供以下文件资料：</w:t>
      </w:r>
    </w:p>
    <w:p>
      <w:pPr>
        <w:spacing w:line="360" w:lineRule="auto"/>
        <w:outlineLvl w:val="3"/>
        <w:rPr>
          <w:rFonts w:ascii="Times New Roman" w:hAnsi="Times New Roman" w:eastAsia="宋体" w:cs="Times New Roman"/>
          <w:b/>
          <w:bCs/>
          <w:sz w:val="24"/>
          <w:szCs w:val="24"/>
        </w:rPr>
      </w:pPr>
      <w:bookmarkStart w:id="78" w:name="_Toc58503504"/>
      <w:r>
        <w:rPr>
          <w:rFonts w:hint="eastAsia" w:ascii="Times New Roman" w:hAnsi="Times New Roman" w:eastAsia="宋体" w:cs="Times New Roman"/>
          <w:b/>
          <w:bCs/>
          <w:sz w:val="24"/>
          <w:szCs w:val="24"/>
        </w:rPr>
        <w:t>8.1硬件文档</w:t>
      </w:r>
      <w:bookmarkEnd w:id="78"/>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1）系统硬件清单；</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2）系统信号列表；</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3）各个硬件板卡说明文档；</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4）激励测试报告；</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5）5条DEMO测试用例。</w:t>
      </w:r>
    </w:p>
    <w:p>
      <w:pPr>
        <w:spacing w:line="360" w:lineRule="auto"/>
        <w:outlineLvl w:val="3"/>
        <w:rPr>
          <w:rFonts w:ascii="Times New Roman" w:hAnsi="Times New Roman" w:eastAsia="宋体" w:cs="Times New Roman"/>
          <w:b/>
          <w:bCs/>
          <w:sz w:val="24"/>
          <w:szCs w:val="24"/>
        </w:rPr>
      </w:pPr>
      <w:bookmarkStart w:id="79" w:name="_Toc58503505"/>
      <w:r>
        <w:rPr>
          <w:rFonts w:hint="eastAsia" w:ascii="Times New Roman" w:hAnsi="Times New Roman" w:eastAsia="宋体" w:cs="Times New Roman"/>
          <w:b/>
          <w:bCs/>
          <w:sz w:val="24"/>
          <w:szCs w:val="24"/>
        </w:rPr>
        <w:t>8.2软件文档</w:t>
      </w:r>
      <w:bookmarkEnd w:id="79"/>
    </w:p>
    <w:p>
      <w:pPr>
        <w:numPr>
          <w:ilvl w:val="0"/>
          <w:numId w:val="34"/>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软件清单；</w:t>
      </w:r>
    </w:p>
    <w:p>
      <w:pPr>
        <w:numPr>
          <w:ilvl w:val="0"/>
          <w:numId w:val="34"/>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各个软件说明文档。</w:t>
      </w:r>
    </w:p>
    <w:p>
      <w:pPr>
        <w:spacing w:line="360" w:lineRule="auto"/>
        <w:outlineLvl w:val="3"/>
        <w:rPr>
          <w:rFonts w:ascii="Times New Roman" w:hAnsi="Times New Roman" w:eastAsia="宋体" w:cs="Times New Roman"/>
          <w:b/>
          <w:bCs/>
          <w:sz w:val="24"/>
          <w:szCs w:val="24"/>
        </w:rPr>
      </w:pPr>
      <w:bookmarkStart w:id="80" w:name="_Toc58503503"/>
      <w:r>
        <w:rPr>
          <w:rFonts w:hint="eastAsia" w:ascii="Times New Roman" w:hAnsi="Times New Roman" w:eastAsia="宋体" w:cs="Times New Roman"/>
          <w:b/>
          <w:bCs/>
          <w:sz w:val="24"/>
          <w:szCs w:val="24"/>
        </w:rPr>
        <w:t>8.3系统文档</w:t>
      </w:r>
      <w:bookmarkEnd w:id="80"/>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系统使用说明书；</w:t>
      </w:r>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相关培训教材；</w:t>
      </w:r>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系统合格证；</w:t>
      </w:r>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系统终验收报告。</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9交货期要求</w:t>
      </w:r>
    </w:p>
    <w:p>
      <w:pPr>
        <w:spacing w:line="30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highlight w:val="yellow"/>
        </w:rPr>
        <w:t>合同签订后5个月内完成设备验收并将设备交付至招标方指定使用场地。</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10项目验收要求</w:t>
      </w:r>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项目验收分预验收和终验收两个阶段，预验收在设备提供方现场进行，终验收在招标方现场进行。</w:t>
      </w:r>
    </w:p>
    <w:p>
      <w:pPr>
        <w:spacing w:line="360" w:lineRule="auto"/>
        <w:outlineLvl w:val="3"/>
        <w:rPr>
          <w:rFonts w:ascii="Times New Roman" w:hAnsi="Times New Roman" w:eastAsia="宋体" w:cs="Times New Roman"/>
          <w:b/>
          <w:bCs/>
          <w:sz w:val="24"/>
          <w:szCs w:val="24"/>
        </w:rPr>
      </w:pPr>
      <w:bookmarkStart w:id="81" w:name="_Toc58503509"/>
      <w:bookmarkEnd w:id="81"/>
      <w:bookmarkStart w:id="82" w:name="_Toc58503510"/>
      <w:bookmarkEnd w:id="82"/>
      <w:bookmarkStart w:id="83" w:name="_Toc58503513"/>
      <w:bookmarkEnd w:id="83"/>
      <w:bookmarkStart w:id="84" w:name="_Toc58503512"/>
      <w:bookmarkEnd w:id="84"/>
      <w:bookmarkStart w:id="85" w:name="_Toc58503511"/>
      <w:bookmarkEnd w:id="85"/>
      <w:bookmarkStart w:id="86" w:name="_Toc58503514"/>
      <w:bookmarkEnd w:id="86"/>
      <w:bookmarkStart w:id="87" w:name="_Toc58503517"/>
      <w:r>
        <w:rPr>
          <w:rFonts w:hint="eastAsia" w:ascii="Times New Roman" w:hAnsi="Times New Roman" w:eastAsia="宋体" w:cs="Times New Roman"/>
          <w:b/>
          <w:bCs/>
          <w:sz w:val="24"/>
          <w:szCs w:val="24"/>
        </w:rPr>
        <w:t>10.1终验收内容</w:t>
      </w:r>
      <w:bookmarkEnd w:id="87"/>
    </w:p>
    <w:p>
      <w:pPr>
        <w:numPr>
          <w:ilvl w:val="1"/>
          <w:numId w:val="0"/>
        </w:numPr>
        <w:tabs>
          <w:tab w:val="left" w:pos="454"/>
        </w:tabs>
        <w:spacing w:line="360" w:lineRule="auto"/>
        <w:outlineLvl w:val="4"/>
        <w:rPr>
          <w:rFonts w:ascii="Times New Roman" w:hAnsi="Times New Roman" w:eastAsia="宋体" w:cs="Times New Roman"/>
          <w:sz w:val="24"/>
          <w:szCs w:val="24"/>
        </w:rPr>
      </w:pPr>
      <w:bookmarkStart w:id="88" w:name="_Toc58503518"/>
      <w:r>
        <w:rPr>
          <w:rFonts w:hint="eastAsia" w:ascii="Times New Roman" w:hAnsi="Times New Roman" w:eastAsia="宋体" w:cs="Times New Roman"/>
          <w:sz w:val="24"/>
          <w:szCs w:val="24"/>
        </w:rPr>
        <w:t>10.1.1系统完整性验收</w:t>
      </w:r>
      <w:bookmarkEnd w:id="88"/>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对照技术协议中的供货范围，对提交的设备进行确认，主要包括系统硬件、系统软件等方面。</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89" w:name="_Toc58503519"/>
      <w:r>
        <w:rPr>
          <w:rFonts w:hint="eastAsia" w:ascii="Times New Roman" w:hAnsi="Times New Roman" w:eastAsia="宋体" w:cs="Times New Roman"/>
          <w:sz w:val="24"/>
          <w:szCs w:val="24"/>
        </w:rPr>
        <w:t>10.1.2预验收遗留问题确认</w:t>
      </w:r>
      <w:bookmarkEnd w:id="89"/>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对预验收过程中遗留的问题进行确认。</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90" w:name="_Toc58503521"/>
      <w:bookmarkStart w:id="91" w:name="_Toc466562404"/>
      <w:r>
        <w:rPr>
          <w:rFonts w:hint="eastAsia" w:ascii="Times New Roman" w:hAnsi="Times New Roman" w:eastAsia="宋体" w:cs="Times New Roman"/>
          <w:sz w:val="24"/>
          <w:szCs w:val="24"/>
        </w:rPr>
        <w:t>10.1.3技术资料提交与确认</w:t>
      </w:r>
      <w:bookmarkEnd w:id="90"/>
      <w:bookmarkEnd w:id="91"/>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对提交的项目工程文件和文档资料进行确认。</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11质保与售后</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质保期为终验收报告签署生效之日起12个月，质保期内：</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软件自license生效之日起12个月内免费提供软件升级服务；</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质保期结束前提供一次系统维护服务，保证系统运行；</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对于非人为损坏的部件应给与免费维修或更换；</w:t>
      </w:r>
    </w:p>
    <w:p>
      <w:pPr>
        <w:numPr>
          <w:ilvl w:val="0"/>
          <w:numId w:val="36"/>
        </w:numPr>
        <w:spacing w:line="360" w:lineRule="auto"/>
        <w:rPr>
          <w:rFonts w:ascii="Times New Roman" w:hAnsi="Times New Roman" w:eastAsia="宋体" w:cs="Times New Roman"/>
          <w:sz w:val="24"/>
          <w:szCs w:val="21"/>
          <w:highlight w:val="yellow"/>
        </w:rPr>
      </w:pPr>
      <w:r>
        <w:rPr>
          <w:rFonts w:hint="eastAsia" w:ascii="Times New Roman" w:hAnsi="Times New Roman" w:eastAsia="宋体" w:cs="Times New Roman"/>
          <w:sz w:val="24"/>
          <w:szCs w:val="21"/>
          <w:highlight w:val="yellow"/>
        </w:rPr>
        <w:t>对系统使用过程中发生的故障应在收到招标方通知后</w:t>
      </w:r>
      <w:r>
        <w:rPr>
          <w:rFonts w:ascii="Times New Roman" w:hAnsi="Times New Roman" w:eastAsia="宋体" w:cs="Times New Roman"/>
          <w:sz w:val="24"/>
          <w:szCs w:val="21"/>
          <w:highlight w:val="yellow"/>
        </w:rPr>
        <w:t>24</w:t>
      </w:r>
      <w:r>
        <w:rPr>
          <w:rFonts w:hint="eastAsia" w:ascii="Times New Roman" w:hAnsi="Times New Roman" w:eastAsia="宋体" w:cs="Times New Roman"/>
          <w:sz w:val="24"/>
          <w:szCs w:val="21"/>
          <w:highlight w:val="yellow"/>
        </w:rPr>
        <w:t>小时内进行响应，如确认无法远程排除故障，则要求在4</w:t>
      </w:r>
      <w:r>
        <w:rPr>
          <w:rFonts w:ascii="Times New Roman" w:hAnsi="Times New Roman" w:eastAsia="宋体" w:cs="Times New Roman"/>
          <w:sz w:val="24"/>
          <w:szCs w:val="21"/>
          <w:highlight w:val="yellow"/>
        </w:rPr>
        <w:t>8</w:t>
      </w:r>
      <w:r>
        <w:rPr>
          <w:rFonts w:hint="eastAsia" w:ascii="Times New Roman" w:hAnsi="Times New Roman" w:eastAsia="宋体" w:cs="Times New Roman"/>
          <w:sz w:val="24"/>
          <w:szCs w:val="21"/>
          <w:highlight w:val="yellow"/>
        </w:rPr>
        <w:t>小时内到现场进行故障排查；</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质保期外提供免费电话或邮件技术支持。</w:t>
      </w:r>
    </w:p>
    <w:p>
      <w:pPr>
        <w:spacing w:line="300" w:lineRule="auto"/>
        <w:ind w:firstLine="480" w:firstLineChars="200"/>
        <w:rPr>
          <w:rFonts w:ascii="Times New Roman" w:hAnsi="Times New Roman" w:eastAsia="宋体" w:cs="Times New Roman"/>
          <w:sz w:val="24"/>
          <w:szCs w:val="21"/>
        </w:rPr>
      </w:pPr>
    </w:p>
    <w:p>
      <w:pPr>
        <w:spacing w:line="360" w:lineRule="auto"/>
        <w:ind w:firstLine="480" w:firstLineChars="200"/>
        <w:rPr>
          <w:rFonts w:ascii="Times New Roman" w:hAnsi="Times New Roman" w:eastAsia="宋体" w:cs="宋体"/>
          <w:sz w:val="24"/>
          <w:szCs w:val="24"/>
          <w:highlight w:val="yellow"/>
        </w:rPr>
      </w:pPr>
    </w:p>
    <w:p>
      <w:pPr>
        <w:spacing w:line="360" w:lineRule="auto"/>
        <w:ind w:firstLine="480" w:firstLineChars="200"/>
        <w:rPr>
          <w:rFonts w:ascii="Times New Roman" w:hAnsi="Times New Roman" w:eastAsia="宋体" w:cs="宋体"/>
          <w:sz w:val="24"/>
          <w:szCs w:val="24"/>
          <w:highlight w:val="yellow"/>
        </w:rPr>
      </w:pPr>
    </w:p>
    <w:p>
      <w:pPr>
        <w:spacing w:line="360" w:lineRule="auto"/>
        <w:ind w:firstLine="480" w:firstLineChars="200"/>
        <w:rPr>
          <w:rFonts w:ascii="Times New Roman" w:hAnsi="Times New Roman" w:eastAsia="宋体" w:cs="宋体"/>
          <w:sz w:val="24"/>
          <w:szCs w:val="24"/>
          <w:highlight w:val="yellow"/>
        </w:rPr>
      </w:pPr>
    </w:p>
    <w:p>
      <w:pPr>
        <w:spacing w:line="360" w:lineRule="auto"/>
        <w:ind w:firstLine="480" w:firstLineChars="200"/>
        <w:rPr>
          <w:rFonts w:ascii="Times New Roman" w:hAnsi="Times New Roman" w:eastAsia="宋体" w:cs="宋体"/>
          <w:sz w:val="24"/>
          <w:szCs w:val="24"/>
          <w:highlight w:val="yellow"/>
        </w:rPr>
      </w:pPr>
    </w:p>
    <w:bookmarkEnd w:id="31"/>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第三章  供货范围及供货方式</w:t>
      </w:r>
    </w:p>
    <w:p>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第一节  供货范围</w:t>
      </w:r>
    </w:p>
    <w:p>
      <w:pPr>
        <w:spacing w:line="420" w:lineRule="exact"/>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一、供货范围</w:t>
      </w:r>
    </w:p>
    <w:tbl>
      <w:tblPr>
        <w:tblStyle w:val="3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1030"/>
        <w:gridCol w:w="2741"/>
        <w:gridCol w:w="945"/>
        <w:gridCol w:w="4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485" w:hRule="atLeast"/>
          <w:tblHeader/>
        </w:trPr>
        <w:tc>
          <w:tcPr>
            <w:tcW w:w="559"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序号</w:t>
            </w:r>
          </w:p>
        </w:tc>
        <w:tc>
          <w:tcPr>
            <w:tcW w:w="1488"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名称</w:t>
            </w:r>
          </w:p>
        </w:tc>
        <w:tc>
          <w:tcPr>
            <w:tcW w:w="513"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数量</w:t>
            </w:r>
          </w:p>
        </w:tc>
        <w:tc>
          <w:tcPr>
            <w:tcW w:w="2439"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ascii="Times New Roman" w:hAnsi="Times New Roman"/>
                <w:b/>
              </w:rPr>
              <w:t>1</w:t>
            </w:r>
          </w:p>
        </w:tc>
        <w:tc>
          <w:tcPr>
            <w:tcW w:w="1488" w:type="pct"/>
            <w:vAlign w:val="center"/>
          </w:tcPr>
          <w:p>
            <w:pPr>
              <w:pStyle w:val="128"/>
              <w:adjustRightInd w:val="0"/>
              <w:snapToGrid w:val="0"/>
              <w:spacing w:beforeLines="0" w:afterLines="0"/>
              <w:rPr>
                <w:rFonts w:hint="default" w:ascii="Times New Roman" w:hAnsi="Times New Roman" w:eastAsiaTheme="minorEastAsia"/>
                <w:szCs w:val="28"/>
                <w:lang w:val="en-US" w:eastAsia="zh-CN"/>
              </w:rPr>
            </w:pPr>
            <w:r>
              <w:rPr>
                <w:rFonts w:hint="eastAsia" w:ascii="Times New Roman" w:hAnsi="Times New Roman"/>
                <w:b/>
                <w:szCs w:val="28"/>
                <w:lang w:val="en-US" w:eastAsia="zh-CN"/>
              </w:rPr>
              <w:t>硬件平台</w:t>
            </w:r>
          </w:p>
        </w:tc>
        <w:tc>
          <w:tcPr>
            <w:tcW w:w="513" w:type="pct"/>
            <w:vAlign w:val="center"/>
          </w:tcPr>
          <w:p>
            <w:pPr>
              <w:pStyle w:val="128"/>
              <w:adjustRightInd w:val="0"/>
              <w:snapToGrid w:val="0"/>
              <w:spacing w:beforeLines="0" w:afterLines="0"/>
              <w:jc w:val="center"/>
              <w:rPr>
                <w:rFonts w:ascii="Times New Roman" w:hAnsi="Times New Roman"/>
                <w:b/>
              </w:rPr>
            </w:pPr>
            <w:r>
              <w:rPr>
                <w:rFonts w:hint="eastAsia" w:ascii="Times New Roman" w:hAnsi="Times New Roman" w:eastAsia="宋体"/>
                <w:b/>
              </w:rPr>
              <w:t>6</w:t>
            </w:r>
            <w:r>
              <w:rPr>
                <w:rFonts w:hint="eastAsia" w:ascii="Times New Roman" w:hAnsi="Times New Roman"/>
                <w:b/>
              </w:rPr>
              <w:t>套</w:t>
            </w:r>
          </w:p>
        </w:tc>
        <w:tc>
          <w:tcPr>
            <w:tcW w:w="2439" w:type="pct"/>
            <w:vAlign w:val="center"/>
          </w:tcPr>
          <w:p>
            <w:pPr>
              <w:pStyle w:val="128"/>
              <w:adjustRightInd w:val="0"/>
              <w:snapToGrid w:val="0"/>
              <w:spacing w:beforeLines="0" w:afterLines="0"/>
              <w:jc w:val="left"/>
              <w:rPr>
                <w:rFonts w:ascii="Times New Roman" w:hAnsi="Times New Roman"/>
                <w:b/>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jc w:val="center"/>
              <w:rPr>
                <w:rFonts w:ascii="Times New Roman" w:hAnsi="Times New Roman"/>
              </w:rPr>
            </w:pPr>
          </w:p>
        </w:tc>
        <w:tc>
          <w:tcPr>
            <w:tcW w:w="1488" w:type="pct"/>
            <w:vAlign w:val="center"/>
          </w:tcPr>
          <w:p>
            <w:pPr>
              <w:pStyle w:val="128"/>
              <w:adjustRightInd w:val="0"/>
              <w:snapToGrid w:val="0"/>
              <w:spacing w:beforeLines="0" w:afterLines="0"/>
              <w:rPr>
                <w:rFonts w:hint="default" w:ascii="Times New Roman" w:hAnsi="Times New Roman" w:eastAsiaTheme="minorEastAsia"/>
                <w:szCs w:val="28"/>
                <w:lang w:val="en-US" w:eastAsia="zh-CN"/>
              </w:rPr>
            </w:pPr>
            <w:r>
              <w:rPr>
                <w:rFonts w:hint="eastAsia" w:ascii="Times New Roman" w:hAnsi="Times New Roman"/>
                <w:szCs w:val="28"/>
                <w:lang w:val="en-US" w:eastAsia="zh-CN"/>
              </w:rPr>
              <w:t>RTPC实时机</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模拟电压采集板卡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1"/>
              </w:rPr>
            </w:pPr>
            <w:r>
              <w:rPr>
                <w:rFonts w:hint="eastAsia" w:ascii="Times New Roman" w:hAnsi="Times New Roman"/>
                <w:szCs w:val="21"/>
              </w:rPr>
              <w:t>模拟电压输出板卡</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1"/>
              </w:rPr>
            </w:pPr>
            <w:r>
              <w:rPr>
                <w:rFonts w:hint="eastAsia" w:ascii="Times New Roman" w:hAnsi="Times New Roman"/>
                <w:szCs w:val="21"/>
              </w:rPr>
              <w:t>multi DIO板卡</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1"/>
              </w:rPr>
            </w:pPr>
            <w:r>
              <w:rPr>
                <w:rFonts w:hint="eastAsia" w:ascii="Times New Roman" w:hAnsi="Times New Roman"/>
                <w:szCs w:val="21"/>
              </w:rPr>
              <w:t>总线通信板卡</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1"/>
              </w:rPr>
            </w:pPr>
            <w:r>
              <w:rPr>
                <w:rFonts w:hint="eastAsia" w:ascii="Times New Roman" w:hAnsi="Times New Roman"/>
                <w:szCs w:val="21"/>
              </w:rPr>
              <w:t>电阻仿真箱</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8"/>
              </w:rPr>
            </w:pPr>
            <w:r>
              <w:rPr>
                <w:rFonts w:hint="eastAsia" w:ascii="Times New Roman" w:hAnsi="Times New Roman"/>
                <w:szCs w:val="28"/>
              </w:rPr>
              <w:t>信号生成板卡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8"/>
              </w:rPr>
            </w:pPr>
            <w:r>
              <w:rPr>
                <w:rFonts w:hint="eastAsia" w:ascii="Times New Roman" w:hAnsi="Times New Roman"/>
                <w:szCs w:val="28"/>
              </w:rPr>
              <w:t>数字输出板卡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8"/>
              </w:rPr>
            </w:pPr>
            <w:r>
              <w:rPr>
                <w:rFonts w:hint="eastAsia" w:ascii="Times New Roman" w:hAnsi="Times New Roman"/>
                <w:szCs w:val="28"/>
              </w:rPr>
              <w:t>轮速仿真板卡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上电时序模拟板卡</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eastAsia="宋体"/>
                <w:szCs w:val="21"/>
              </w:rPr>
              <w:t>6</w:t>
            </w:r>
            <w:r>
              <w:rPr>
                <w:rFonts w:hint="eastAsia" w:ascii="Times New Roman" w:hAnsi="Times New Roman"/>
                <w:szCs w:val="21"/>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Relay_2A</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故障注入板卡1</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故障注入板卡2</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电感型位置传感器模拟</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eastAsia="宋体"/>
                <w:szCs w:val="21"/>
              </w:rPr>
              <w:t>6</w:t>
            </w:r>
            <w:r>
              <w:rPr>
                <w:rFonts w:hint="eastAsia" w:ascii="Times New Roman" w:hAnsi="Times New Roman"/>
                <w:szCs w:val="21"/>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信号生成板卡</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上电控制卡</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低压程控电源</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电流采集</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eastAsia="宋体"/>
                <w:szCs w:val="21"/>
              </w:rPr>
              <w:t>6</w:t>
            </w:r>
            <w:r>
              <w:rPr>
                <w:rFonts w:hint="eastAsia" w:ascii="Times New Roman" w:hAnsi="Times New Roman"/>
                <w:szCs w:val="21"/>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上位机</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BOB</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电气系统总成</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b/>
              </w:rPr>
              <w:t>2</w:t>
            </w:r>
          </w:p>
        </w:tc>
        <w:tc>
          <w:tcPr>
            <w:tcW w:w="1488" w:type="pct"/>
            <w:vAlign w:val="center"/>
          </w:tcPr>
          <w:p>
            <w:pPr>
              <w:pStyle w:val="128"/>
              <w:adjustRightInd w:val="0"/>
              <w:snapToGrid w:val="0"/>
              <w:spacing w:beforeLines="0" w:afterLines="0"/>
              <w:rPr>
                <w:rFonts w:hint="default" w:ascii="Times New Roman" w:hAnsi="Times New Roman" w:eastAsiaTheme="minorEastAsia"/>
                <w:szCs w:val="28"/>
                <w:lang w:val="en-US" w:eastAsia="zh-CN"/>
              </w:rPr>
            </w:pPr>
            <w:r>
              <w:rPr>
                <w:rFonts w:hint="eastAsia" w:ascii="Times New Roman" w:hAnsi="Times New Roman"/>
                <w:b/>
                <w:szCs w:val="28"/>
                <w:lang w:val="en-US" w:eastAsia="zh-CN"/>
              </w:rPr>
              <w:t>机械平台</w:t>
            </w:r>
          </w:p>
        </w:tc>
        <w:tc>
          <w:tcPr>
            <w:tcW w:w="513" w:type="pct"/>
            <w:vAlign w:val="center"/>
          </w:tcPr>
          <w:p>
            <w:pPr>
              <w:pStyle w:val="128"/>
              <w:adjustRightInd w:val="0"/>
              <w:snapToGrid w:val="0"/>
              <w:spacing w:beforeLines="0" w:afterLines="0"/>
              <w:jc w:val="center"/>
              <w:rPr>
                <w:rFonts w:ascii="Times New Roman" w:hAnsi="Times New Roman"/>
                <w:b/>
              </w:rPr>
            </w:pPr>
            <w:r>
              <w:rPr>
                <w:rFonts w:hint="eastAsia" w:ascii="Times New Roman" w:hAnsi="Times New Roman" w:eastAsia="宋体"/>
                <w:b/>
              </w:rPr>
              <w:t>6</w:t>
            </w:r>
            <w:r>
              <w:rPr>
                <w:rFonts w:hint="eastAsia" w:ascii="Times New Roman" w:hAnsi="Times New Roman"/>
                <w:b/>
              </w:rPr>
              <w:t>套</w:t>
            </w:r>
          </w:p>
        </w:tc>
        <w:tc>
          <w:tcPr>
            <w:tcW w:w="2439" w:type="pct"/>
            <w:vAlign w:val="center"/>
          </w:tcPr>
          <w:p>
            <w:pPr>
              <w:pStyle w:val="128"/>
              <w:adjustRightInd w:val="0"/>
              <w:snapToGrid w:val="0"/>
              <w:spacing w:beforeLines="0" w:afterLines="0"/>
              <w:jc w:val="left"/>
              <w:rPr>
                <w:rFonts w:ascii="Times New Roman" w:hAnsi="Times New Roman"/>
                <w:b/>
                <w:szCs w:val="21"/>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测试机柜</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上电控制箱</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其他损耗</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转接线束及接插件</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hint="eastAsia" w:ascii="Times New Roman" w:hAnsi="Times New Roman" w:eastAsiaTheme="minorEastAsia" w:cstheme="minorBidi"/>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IO模型生成工具</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b/>
              </w:rPr>
            </w:pPr>
            <w:r>
              <w:rPr>
                <w:rFonts w:hint="eastAsia" w:ascii="Times New Roman" w:hAnsi="Times New Roman"/>
                <w:b/>
              </w:rPr>
              <w:t>3</w:t>
            </w:r>
          </w:p>
        </w:tc>
        <w:tc>
          <w:tcPr>
            <w:tcW w:w="1488" w:type="pct"/>
            <w:vAlign w:val="center"/>
          </w:tcPr>
          <w:p>
            <w:pPr>
              <w:pStyle w:val="128"/>
              <w:adjustRightInd w:val="0"/>
              <w:snapToGrid w:val="0"/>
              <w:spacing w:beforeLines="0" w:afterLines="0"/>
              <w:rPr>
                <w:rFonts w:hint="default" w:ascii="Times New Roman" w:hAnsi="Times New Roman" w:eastAsiaTheme="minorEastAsia"/>
                <w:b/>
                <w:szCs w:val="28"/>
                <w:lang w:val="en-US" w:eastAsia="zh-CN"/>
              </w:rPr>
            </w:pPr>
            <w:r>
              <w:rPr>
                <w:rFonts w:hint="eastAsia" w:ascii="Times New Roman" w:hAnsi="Times New Roman"/>
                <w:b/>
                <w:szCs w:val="28"/>
                <w:lang w:val="en-US" w:eastAsia="zh-CN"/>
              </w:rPr>
              <w:t>软件平台</w:t>
            </w:r>
          </w:p>
        </w:tc>
        <w:tc>
          <w:tcPr>
            <w:tcW w:w="513" w:type="pct"/>
            <w:vAlign w:val="center"/>
          </w:tcPr>
          <w:p>
            <w:pPr>
              <w:pStyle w:val="128"/>
              <w:adjustRightInd w:val="0"/>
              <w:snapToGrid w:val="0"/>
              <w:spacing w:beforeLines="0" w:afterLines="0"/>
              <w:jc w:val="center"/>
              <w:rPr>
                <w:rFonts w:ascii="Times New Roman" w:hAnsi="Times New Roman"/>
                <w:b/>
                <w:szCs w:val="28"/>
              </w:rPr>
            </w:pPr>
          </w:p>
        </w:tc>
        <w:tc>
          <w:tcPr>
            <w:tcW w:w="2439" w:type="pct"/>
            <w:vAlign w:val="center"/>
          </w:tcPr>
          <w:p>
            <w:pPr>
              <w:pStyle w:val="128"/>
              <w:adjustRightInd w:val="0"/>
              <w:snapToGrid w:val="0"/>
              <w:spacing w:beforeLines="0" w:afterLines="0"/>
              <w:jc w:val="left"/>
              <w:rPr>
                <w:rFonts w:ascii="Times New Roman" w:hAnsi="Times New Roman"/>
                <w:b/>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工程配置软件</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试验管理软件</w:t>
            </w:r>
          </w:p>
        </w:tc>
        <w:tc>
          <w:tcPr>
            <w:tcW w:w="513" w:type="pct"/>
            <w:vAlign w:val="center"/>
          </w:tcPr>
          <w:p>
            <w:pPr>
              <w:pStyle w:val="128"/>
              <w:adjustRightInd w:val="0"/>
              <w:snapToGrid w:val="0"/>
              <w:spacing w:beforeLines="0" w:afterLines="0"/>
              <w:jc w:val="center"/>
              <w:rPr>
                <w:rFonts w:ascii="Times New Roman" w:hAnsi="Times New Roman"/>
                <w:highlight w:val="yellow"/>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自动测试软件</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动力学模型、电池模型、电机模型等</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highlight w:val="yellow"/>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eastAsiaTheme="minorEastAsia"/>
                <w:szCs w:val="21"/>
                <w:lang w:eastAsia="zh-CN"/>
              </w:rPr>
            </w:pPr>
            <w:r>
              <w:rPr>
                <w:rFonts w:hint="eastAsia" w:ascii="Times New Roman" w:hAnsi="Times New Roman"/>
                <w:szCs w:val="21"/>
              </w:rPr>
              <w:t>根据招标方需求搭建，需要提供模型方案</w:t>
            </w:r>
            <w:r>
              <w:rPr>
                <w:rFonts w:hint="eastAsia" w:ascii="Times New Roman" w:hAnsi="Times New Roman"/>
                <w:szCs w:val="21"/>
                <w:lang w:eastAsia="zh-CN"/>
              </w:rPr>
              <w:t>。</w:t>
            </w:r>
            <w:r>
              <w:rPr>
                <w:rFonts w:hint="eastAsia" w:ascii="Times New Roman" w:hAnsi="Times New Roman"/>
                <w:szCs w:val="21"/>
              </w:rPr>
              <w:t>需要包含车辆纵向动力学模型及车辆关键部件模型</w:t>
            </w:r>
            <w:r>
              <w:rPr>
                <w:rFonts w:hint="eastAsia" w:ascii="Times New Roman" w:hAnsi="Times New Roman"/>
                <w:szCs w:val="21"/>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ind w:hanging="75"/>
              <w:jc w:val="center"/>
              <w:rPr>
                <w:rFonts w:ascii="Times New Roman" w:hAnsi="Times New Roman"/>
                <w:b/>
              </w:rPr>
            </w:pPr>
            <w:r>
              <w:rPr>
                <w:rFonts w:ascii="Times New Roman" w:hAnsi="Times New Roman"/>
                <w:b/>
              </w:rPr>
              <w:t>4</w:t>
            </w:r>
          </w:p>
        </w:tc>
        <w:tc>
          <w:tcPr>
            <w:tcW w:w="1488" w:type="pct"/>
            <w:vAlign w:val="center"/>
          </w:tcPr>
          <w:p>
            <w:pPr>
              <w:pStyle w:val="128"/>
              <w:adjustRightInd w:val="0"/>
              <w:snapToGrid w:val="0"/>
              <w:spacing w:beforeLines="0" w:afterLines="0"/>
              <w:rPr>
                <w:rFonts w:hint="default" w:ascii="Times New Roman" w:hAnsi="Times New Roman" w:eastAsiaTheme="minorEastAsia"/>
                <w:b/>
                <w:szCs w:val="28"/>
                <w:lang w:val="en-US" w:eastAsia="zh-CN"/>
              </w:rPr>
            </w:pPr>
            <w:r>
              <w:rPr>
                <w:rFonts w:hint="eastAsia" w:ascii="Times New Roman" w:hAnsi="Times New Roman"/>
                <w:b/>
                <w:szCs w:val="28"/>
                <w:lang w:val="en-US" w:eastAsia="zh-CN"/>
              </w:rPr>
              <w:t>服务及其他</w:t>
            </w:r>
          </w:p>
        </w:tc>
        <w:tc>
          <w:tcPr>
            <w:tcW w:w="513" w:type="pct"/>
            <w:vAlign w:val="center"/>
          </w:tcPr>
          <w:p>
            <w:pPr>
              <w:pStyle w:val="128"/>
              <w:adjustRightInd w:val="0"/>
              <w:snapToGrid w:val="0"/>
              <w:spacing w:beforeLines="0" w:afterLines="0"/>
              <w:jc w:val="center"/>
              <w:rPr>
                <w:rFonts w:ascii="Times New Roman" w:hAnsi="Times New Roman"/>
                <w:b/>
              </w:rPr>
            </w:pPr>
          </w:p>
        </w:tc>
        <w:tc>
          <w:tcPr>
            <w:tcW w:w="2439" w:type="pct"/>
            <w:vAlign w:val="center"/>
          </w:tcPr>
          <w:p>
            <w:pPr>
              <w:pStyle w:val="128"/>
              <w:adjustRightInd w:val="0"/>
              <w:snapToGrid w:val="0"/>
              <w:spacing w:beforeLines="0" w:afterLines="0"/>
              <w:jc w:val="left"/>
              <w:rPr>
                <w:rFonts w:ascii="Times New Roman" w:hAnsi="Times New Roman"/>
                <w:b/>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.1</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机械设计</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lang w:val="en-US" w:eastAsia="zh-CN"/>
              </w:rPr>
              <w:t>1</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.2</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电气设计</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.3</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培训费用</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.4</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集成费</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eastAsiaTheme="minorEastAsia"/>
                <w:lang w:val="en-US" w:eastAsia="zh-CN"/>
              </w:rPr>
            </w:pPr>
            <w:r>
              <w:rPr>
                <w:rFonts w:hint="eastAsia" w:ascii="Times New Roman" w:hAnsi="Times New Roman"/>
                <w:lang w:val="en-US" w:eastAsia="zh-CN"/>
              </w:rPr>
              <w:t>4.5</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激励测试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eastAsia="宋体"/>
                <w:szCs w:val="28"/>
                <w:lang w:val="en-US" w:eastAsia="zh-CN"/>
              </w:rPr>
              <w:t>1</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eastAsiaTheme="minorEastAsia"/>
                <w:lang w:val="en-US" w:eastAsia="zh-CN"/>
              </w:rPr>
            </w:pPr>
            <w:r>
              <w:rPr>
                <w:rFonts w:hint="eastAsia" w:ascii="Times New Roman" w:hAnsi="Times New Roman"/>
                <w:lang w:val="en-US" w:eastAsia="zh-CN"/>
              </w:rPr>
              <w:t>4.6</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开环测试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lang w:val="en-US" w:eastAsia="zh-CN"/>
              </w:rPr>
            </w:pPr>
            <w:r>
              <w:rPr>
                <w:rFonts w:hint="eastAsia" w:ascii="Times New Roman" w:hAnsi="Times New Roman"/>
                <w:lang w:val="en-US" w:eastAsia="zh-CN"/>
              </w:rPr>
              <w:t>4.7</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闭环测试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lang w:val="en-US" w:eastAsia="zh-CN"/>
              </w:rPr>
            </w:pPr>
            <w:r>
              <w:rPr>
                <w:rFonts w:hint="eastAsia" w:ascii="Times New Roman" w:hAnsi="Times New Roman"/>
                <w:lang w:val="en-US" w:eastAsia="zh-CN"/>
              </w:rPr>
              <w:t>4.8</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现场调试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lang w:val="en-US" w:eastAsia="zh-CN"/>
              </w:rPr>
            </w:pPr>
            <w:r>
              <w:rPr>
                <w:rFonts w:hint="eastAsia" w:ascii="Times New Roman" w:hAnsi="Times New Roman"/>
                <w:lang w:val="en-US" w:eastAsia="zh-CN"/>
              </w:rPr>
              <w:t>4.9</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差旅费</w:t>
            </w:r>
          </w:p>
        </w:tc>
        <w:tc>
          <w:tcPr>
            <w:tcW w:w="513" w:type="pct"/>
            <w:vAlign w:val="center"/>
          </w:tcPr>
          <w:p>
            <w:pPr>
              <w:pStyle w:val="128"/>
              <w:adjustRightInd w:val="0"/>
              <w:snapToGrid w:val="0"/>
              <w:spacing w:beforeLines="0" w:afterLines="0"/>
              <w:jc w:val="center"/>
              <w:rPr>
                <w:rFonts w:hint="eastAsia"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ind w:hanging="75"/>
              <w:jc w:val="center"/>
              <w:rPr>
                <w:rFonts w:hint="eastAsia" w:ascii="Times New Roman" w:hAnsi="Times New Roman" w:eastAsiaTheme="minorEastAsia"/>
                <w:b/>
                <w:lang w:eastAsia="zh-CN"/>
              </w:rPr>
            </w:pPr>
            <w:r>
              <w:rPr>
                <w:rFonts w:hint="eastAsia" w:ascii="Times New Roman" w:hAnsi="Times New Roman"/>
                <w:b/>
                <w:lang w:val="en-US" w:eastAsia="zh-CN"/>
              </w:rPr>
              <w:t>5</w:t>
            </w:r>
          </w:p>
        </w:tc>
        <w:tc>
          <w:tcPr>
            <w:tcW w:w="1488" w:type="pct"/>
            <w:vAlign w:val="center"/>
          </w:tcPr>
          <w:p>
            <w:pPr>
              <w:pStyle w:val="128"/>
              <w:adjustRightInd w:val="0"/>
              <w:snapToGrid w:val="0"/>
              <w:spacing w:beforeLines="0" w:afterLines="0"/>
              <w:rPr>
                <w:rFonts w:hint="default" w:ascii="Times New Roman" w:hAnsi="Times New Roman" w:eastAsiaTheme="minorEastAsia"/>
                <w:b/>
                <w:szCs w:val="28"/>
                <w:lang w:val="en-US" w:eastAsia="zh-CN"/>
              </w:rPr>
            </w:pPr>
            <w:r>
              <w:rPr>
                <w:rFonts w:hint="eastAsia" w:ascii="Times New Roman" w:hAnsi="Times New Roman"/>
                <w:b/>
                <w:szCs w:val="28"/>
                <w:lang w:val="en-US" w:eastAsia="zh-CN"/>
              </w:rPr>
              <w:t>包装运输</w:t>
            </w:r>
          </w:p>
        </w:tc>
        <w:tc>
          <w:tcPr>
            <w:tcW w:w="513" w:type="pct"/>
            <w:vAlign w:val="center"/>
          </w:tcPr>
          <w:p>
            <w:pPr>
              <w:pStyle w:val="128"/>
              <w:adjustRightInd w:val="0"/>
              <w:snapToGrid w:val="0"/>
              <w:spacing w:beforeLines="0" w:afterLines="0"/>
              <w:jc w:val="center"/>
              <w:rPr>
                <w:rFonts w:ascii="Times New Roman" w:hAnsi="Times New Roman"/>
                <w:b/>
              </w:rPr>
            </w:pPr>
          </w:p>
        </w:tc>
        <w:tc>
          <w:tcPr>
            <w:tcW w:w="2439" w:type="pct"/>
            <w:vAlign w:val="center"/>
          </w:tcPr>
          <w:p>
            <w:pPr>
              <w:pStyle w:val="128"/>
              <w:adjustRightInd w:val="0"/>
              <w:snapToGrid w:val="0"/>
              <w:spacing w:beforeLines="0" w:afterLines="0"/>
              <w:jc w:val="left"/>
              <w:rPr>
                <w:rFonts w:ascii="Times New Roman" w:hAnsi="Times New Roman"/>
                <w:b/>
                <w:sz w:val="18"/>
                <w:szCs w:val="18"/>
              </w:rPr>
            </w:pPr>
          </w:p>
        </w:tc>
      </w:tr>
    </w:tbl>
    <w:p>
      <w:pPr>
        <w:spacing w:before="240" w:beforeLines="100"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（一）一般界定</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3.包括货物维护维修所必需的专用工具。</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Times New Roman" w:hAnsi="Times New Roman" w:eastAsia="宋体" w:cs="宋体"/>
          <w:color w:val="000000"/>
          <w:sz w:val="24"/>
          <w:szCs w:val="24"/>
        </w:rPr>
        <w:t>。</w:t>
      </w:r>
    </w:p>
    <w:p>
      <w:pPr>
        <w:spacing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（二）供货范围边界界定</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rPr>
        <w:t>（自设备至接线端之间电源线或电缆，由卖方负责提供）</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4.以“交钥匙”方式采购的货物，在满足技术标书本节上述要求之外，同时包括货物正常运行、使用所需要的过桥、护栏、防护网、盖板等辅助设</w:t>
      </w:r>
      <w:r>
        <w:rPr>
          <w:rFonts w:hint="eastAsia" w:ascii="Times New Roman" w:hAnsi="Times New Roman" w:eastAsia="宋体" w:cs="宋体"/>
          <w:color w:val="000000"/>
          <w:sz w:val="24"/>
          <w:szCs w:val="24"/>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二、备品备件、易损件和专用耗材供货范围</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2.供货范围包括易损件和专用耗材的制造图纸及其技术要求等资料，如涉及专有技术或无法提供，应在投标文件中予以澄清或说明</w:t>
      </w:r>
      <w:r>
        <w:rPr>
          <w:rFonts w:hint="eastAsia" w:ascii="Times New Roman" w:hAnsi="Times New Roman" w:eastAsia="宋体" w:cs="宋体"/>
          <w:color w:val="000000"/>
          <w:sz w:val="24"/>
          <w:szCs w:val="24"/>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三、技术资料供货范围</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sz w:val="24"/>
          <w:szCs w:val="24"/>
        </w:rPr>
        <w:t>技术资料供货范</w:t>
      </w:r>
      <w:r>
        <w:rPr>
          <w:rFonts w:hint="eastAsia" w:ascii="Times New Roman" w:hAnsi="Times New Roman" w:eastAsia="宋体" w:cs="宋体"/>
          <w:bCs/>
          <w:sz w:val="24"/>
          <w:szCs w:val="24"/>
        </w:rPr>
        <w:t>围包括：</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1.在合同签订后</w:t>
      </w:r>
      <w:r>
        <w:rPr>
          <w:rFonts w:hint="eastAsia" w:ascii="Times New Roman" w:hAnsi="Times New Roman" w:eastAsia="宋体" w:cs="宋体"/>
          <w:bCs/>
          <w:sz w:val="24"/>
          <w:szCs w:val="24"/>
          <w:u w:val="single"/>
        </w:rPr>
        <w:t xml:space="preserve"> 60 </w:t>
      </w:r>
      <w:r>
        <w:rPr>
          <w:rFonts w:hint="eastAsia" w:ascii="Times New Roman" w:hAnsi="Times New Roman"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2.在预验收前，提供货物各部分的功能描述文件、图片、影像等资料（进口、设备应有中外文对照）。</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8.本条款所列的技术资料、图片、影像等，投标人应各提供</w:t>
      </w:r>
      <w:r>
        <w:rPr>
          <w:rFonts w:ascii="Times New Roman" w:hAnsi="Times New Roman" w:eastAsia="宋体" w:cs="宋体"/>
          <w:sz w:val="24"/>
          <w:szCs w:val="24"/>
        </w:rPr>
        <w:t>3</w:t>
      </w:r>
      <w:r>
        <w:rPr>
          <w:rFonts w:hint="eastAsia" w:ascii="Times New Roman" w:hAnsi="Times New Roman" w:eastAsia="宋体" w:cs="宋体"/>
          <w:sz w:val="24"/>
          <w:szCs w:val="24"/>
        </w:rPr>
        <w:t>套，其中</w:t>
      </w:r>
      <w:r>
        <w:rPr>
          <w:rFonts w:ascii="Times New Roman" w:hAnsi="Times New Roman" w:eastAsia="宋体" w:cs="宋体"/>
          <w:sz w:val="24"/>
          <w:szCs w:val="24"/>
        </w:rPr>
        <w:t>1</w:t>
      </w:r>
      <w:r>
        <w:rPr>
          <w:rFonts w:hint="eastAsia" w:ascii="Times New Roman" w:hAnsi="Times New Roman" w:eastAsia="宋体" w:cs="宋体"/>
          <w:sz w:val="24"/>
          <w:szCs w:val="24"/>
        </w:rPr>
        <w:t>套为电子版光盘；每份技术文件应装有目录清单。</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9.本条款所列要求，如招标人认为投标人提供的资料不能满足要求时，有权要求投标人免费补充或增加</w:t>
      </w:r>
      <w:r>
        <w:rPr>
          <w:rFonts w:hint="eastAsia" w:ascii="Times New Roman" w:hAnsi="Times New Roman" w:eastAsia="宋体" w:cs="宋体"/>
          <w:color w:val="000000"/>
          <w:sz w:val="24"/>
          <w:szCs w:val="24"/>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四、供货范围特别提示</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如果投标人认为本节所列的供货范围难以满足，则仍需要按照本要求提供，但该部分货物应当在投标报价中单独列明货物名称及品质、货值</w:t>
      </w:r>
      <w:r>
        <w:rPr>
          <w:rFonts w:hint="eastAsia" w:ascii="Times New Roman" w:hAnsi="Times New Roman" w:eastAsia="宋体" w:cs="宋体"/>
          <w:color w:val="000000"/>
          <w:sz w:val="24"/>
          <w:szCs w:val="24"/>
        </w:rPr>
        <w:t>。</w:t>
      </w: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rPr>
          <w:rFonts w:ascii="Times New Roman" w:hAnsi="Times New Roman" w:eastAsia="宋体" w:cs="Times New Roman"/>
          <w:color w:val="000000"/>
          <w:sz w:val="24"/>
          <w:szCs w:val="20"/>
        </w:rPr>
      </w:pPr>
    </w:p>
    <w:p>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第二节  供货方式</w:t>
      </w:r>
    </w:p>
    <w:p>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sz w:val="24"/>
          <w:szCs w:val="24"/>
        </w:rPr>
        <w:t>一、供货方式</w:t>
      </w:r>
    </w:p>
    <w:p>
      <w:pPr>
        <w:spacing w:line="360" w:lineRule="auto"/>
        <w:ind w:firstLine="480" w:firstLineChars="200"/>
        <w:rPr>
          <w:rFonts w:ascii="Times New Roman" w:hAnsi="Times New Roman" w:eastAsia="宋体" w:cs="宋体"/>
          <w:b/>
          <w:i/>
          <w:sz w:val="24"/>
          <w:szCs w:val="24"/>
        </w:rPr>
      </w:pPr>
      <w:r>
        <w:rPr>
          <w:rFonts w:hint="eastAsia" w:ascii="Times New Roman" w:hAnsi="Times New Roman"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bCs/>
          <w:sz w:val="24"/>
          <w:szCs w:val="24"/>
        </w:rPr>
        <w:t>二、供货地点：</w:t>
      </w:r>
      <w:r>
        <w:rPr>
          <w:rFonts w:hint="eastAsia" w:ascii="Times New Roman" w:hAnsi="Times New Roman" w:eastAsia="宋体" w:cs="宋体"/>
          <w:sz w:val="24"/>
          <w:szCs w:val="28"/>
        </w:rPr>
        <w:t>济南市高新区华奥路777号中国重汽科技大厦园区</w:t>
      </w:r>
      <w:r>
        <w:rPr>
          <w:rFonts w:hint="eastAsia" w:ascii="Times New Roman" w:hAnsi="Times New Roman" w:eastAsia="宋体" w:cs="宋体"/>
          <w:sz w:val="24"/>
          <w:szCs w:val="28"/>
          <w:lang w:val="en-US" w:eastAsia="zh-CN"/>
        </w:rPr>
        <w:t>营销中心三楼</w:t>
      </w:r>
      <w:r>
        <w:rPr>
          <w:rFonts w:hint="eastAsia" w:ascii="Times New Roman" w:hAnsi="Times New Roman" w:eastAsia="宋体" w:cs="宋体"/>
          <w:sz w:val="24"/>
          <w:szCs w:val="24"/>
        </w:rPr>
        <w:t>。</w:t>
      </w:r>
    </w:p>
    <w:p>
      <w:pPr>
        <w:spacing w:line="360" w:lineRule="auto"/>
        <w:ind w:firstLine="482" w:firstLineChars="200"/>
        <w:jc w:val="left"/>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三、供货时间</w:t>
      </w:r>
    </w:p>
    <w:p>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highlight w:val="yellow"/>
        </w:rPr>
        <w:t>1.自合同生效后</w:t>
      </w:r>
      <w:r>
        <w:rPr>
          <w:rFonts w:hint="eastAsia" w:ascii="Times New Roman" w:hAnsi="Times New Roman" w:eastAsia="宋体" w:cs="宋体"/>
          <w:sz w:val="24"/>
          <w:szCs w:val="24"/>
          <w:highlight w:val="yellow"/>
          <w:u w:val="single"/>
        </w:rPr>
        <w:t>90</w:t>
      </w:r>
      <w:r>
        <w:rPr>
          <w:rFonts w:hint="eastAsia" w:ascii="Times New Roman" w:hAnsi="Times New Roman" w:eastAsia="宋体" w:cs="宋体"/>
          <w:sz w:val="24"/>
          <w:szCs w:val="24"/>
          <w:highlight w:val="yellow"/>
        </w:rPr>
        <w:t>个日历日内，中标人须交付设备到招标人指定的安装和使用的现场。</w:t>
      </w:r>
    </w:p>
    <w:p>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2.接续</w:t>
      </w:r>
      <w:r>
        <w:rPr>
          <w:rFonts w:hint="eastAsia" w:ascii="Times New Roman" w:hAnsi="Times New Roman" w:eastAsia="宋体" w:cs="宋体"/>
          <w:sz w:val="24"/>
          <w:szCs w:val="24"/>
          <w:u w:val="single"/>
          <w:shd w:val="clear" w:color="auto" w:fill="FFFFFF"/>
          <w:lang w:val="en-US" w:eastAsia="zh-CN"/>
        </w:rPr>
        <w:t>9</w:t>
      </w:r>
      <w:r>
        <w:rPr>
          <w:rFonts w:hint="eastAsia" w:ascii="Times New Roman" w:hAnsi="Times New Roman" w:eastAsia="宋体" w:cs="宋体"/>
          <w:sz w:val="24"/>
          <w:szCs w:val="24"/>
          <w:u w:val="single"/>
          <w:shd w:val="clear" w:color="auto" w:fill="FFFFFF"/>
        </w:rPr>
        <w:t>0</w:t>
      </w:r>
      <w:r>
        <w:rPr>
          <w:rFonts w:hint="eastAsia" w:ascii="Times New Roman" w:hAnsi="Times New Roman" w:eastAsia="宋体" w:cs="宋体"/>
          <w:sz w:val="24"/>
          <w:szCs w:val="24"/>
        </w:rPr>
        <w:t>个日历日之内安装调试完毕。</w:t>
      </w:r>
    </w:p>
    <w:p>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3.接续</w:t>
      </w:r>
      <w:r>
        <w:rPr>
          <w:rFonts w:hint="eastAsia" w:ascii="Times New Roman" w:hAnsi="Times New Roman" w:eastAsia="宋体" w:cs="宋体"/>
          <w:sz w:val="24"/>
          <w:szCs w:val="24"/>
          <w:u w:val="single"/>
        </w:rPr>
        <w:t>30</w:t>
      </w:r>
      <w:r>
        <w:rPr>
          <w:rFonts w:hint="eastAsia" w:ascii="Times New Roman" w:hAnsi="Times New Roman" w:eastAsia="宋体" w:cs="宋体"/>
          <w:sz w:val="24"/>
          <w:szCs w:val="24"/>
        </w:rPr>
        <w:t>个日历日之内完成终验收。</w:t>
      </w:r>
    </w:p>
    <w:p>
      <w:pPr>
        <w:spacing w:line="360" w:lineRule="auto"/>
        <w:ind w:firstLine="480" w:firstLineChars="200"/>
        <w:jc w:val="left"/>
        <w:rPr>
          <w:rFonts w:ascii="Times New Roman" w:hAnsi="Times New Roman" w:eastAsia="宋体" w:cs="宋体"/>
          <w:color w:val="000000"/>
          <w:sz w:val="24"/>
          <w:szCs w:val="20"/>
        </w:rPr>
      </w:pPr>
      <w:r>
        <w:rPr>
          <w:rFonts w:hint="eastAsia" w:ascii="Times New Roman" w:hAnsi="Times New Roman" w:eastAsia="宋体" w:cs="宋体"/>
          <w:sz w:val="24"/>
          <w:szCs w:val="24"/>
        </w:rPr>
        <w:t>安装调试时间或终验收时间超过</w:t>
      </w:r>
      <w:r>
        <w:rPr>
          <w:rFonts w:hint="eastAsia" w:ascii="Times New Roman" w:hAnsi="Times New Roman" w:eastAsia="宋体" w:cs="宋体"/>
          <w:sz w:val="24"/>
          <w:szCs w:val="24"/>
          <w:u w:val="single"/>
        </w:rPr>
        <w:t>10</w:t>
      </w:r>
      <w:r>
        <w:rPr>
          <w:rFonts w:hint="eastAsia" w:ascii="Times New Roman" w:hAnsi="Times New Roman" w:eastAsia="宋体" w:cs="宋体"/>
          <w:sz w:val="24"/>
          <w:szCs w:val="24"/>
        </w:rPr>
        <w:t>天的，投标人应当随标书提供详细的工期计划</w:t>
      </w:r>
      <w:r>
        <w:rPr>
          <w:rFonts w:hint="eastAsia" w:ascii="Times New Roman" w:hAnsi="Times New Roman" w:eastAsia="宋体" w:cs="宋体"/>
          <w:color w:val="000000"/>
          <w:sz w:val="24"/>
          <w:szCs w:val="20"/>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四、包装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8.包装箱应连续编号，不应出现重复编号。</w:t>
      </w:r>
    </w:p>
    <w:p>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9.在不受到外界破坏情况下，包装应保证自交货日起一年内货物（或设备）完好无损</w:t>
      </w:r>
      <w:r>
        <w:rPr>
          <w:rFonts w:hint="eastAsia" w:ascii="Times New Roman" w:hAnsi="Times New Roman" w:eastAsia="宋体" w:cs="宋体"/>
          <w:color w:val="000000"/>
          <w:sz w:val="24"/>
          <w:szCs w:val="20"/>
        </w:rPr>
        <w:t>。</w:t>
      </w:r>
    </w:p>
    <w:p>
      <w:pPr>
        <w:adjustRightInd w:val="0"/>
        <w:snapToGrid w:val="0"/>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五、运输</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2.同批货物（或设备）应统一包装、编号运输。</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5.货物（或设备）运抵交货地点后，应负责货物（或设备）的卸货、搬运、保管等事宜，或按照合同约定</w:t>
      </w:r>
      <w:r>
        <w:rPr>
          <w:rFonts w:hint="eastAsia" w:ascii="Times New Roman" w:hAnsi="Times New Roman"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ascii="Times New Roman" w:hAnsi="Times New Roman" w:eastAsia="黑体"/>
          <w:bCs/>
          <w:color w:val="000000"/>
          <w:kern w:val="44"/>
          <w:sz w:val="36"/>
          <w:szCs w:val="24"/>
        </w:rPr>
        <w:br w:type="page"/>
      </w:r>
      <w:bookmarkStart w:id="92" w:name="_Toc169605884"/>
      <w:r>
        <w:rPr>
          <w:rFonts w:hint="eastAsia" w:ascii="Times New Roman" w:hAnsi="Times New Roman" w:eastAsia="宋体" w:cs="Times New Roman"/>
          <w:b/>
          <w:bCs/>
          <w:kern w:val="44"/>
          <w:sz w:val="28"/>
          <w:szCs w:val="28"/>
        </w:rPr>
        <w:t>第四章  质保期及售后服务</w:t>
      </w:r>
      <w:bookmarkEnd w:id="92"/>
    </w:p>
    <w:p>
      <w:pPr>
        <w:pStyle w:val="121"/>
        <w:spacing w:line="360" w:lineRule="auto"/>
      </w:pPr>
      <w:r>
        <w:rPr>
          <w:rFonts w:hint="eastAsia"/>
        </w:rPr>
        <w:t>一、质保期及质保要求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1.全部供货范围内的设备、材料、零配件和工器具等，除合同特别约定外，其质保期均自终验收签字生效之日起</w:t>
      </w:r>
      <w:r>
        <w:rPr>
          <w:rFonts w:hint="eastAsia" w:ascii="Times New Roman" w:hAnsi="Times New Roman" w:eastAsia="宋体" w:cs="宋体"/>
          <w:sz w:val="24"/>
          <w:szCs w:val="24"/>
          <w:u w:val="single"/>
        </w:rPr>
        <w:t xml:space="preserve"> 12 </w:t>
      </w:r>
      <w:r>
        <w:rPr>
          <w:rFonts w:hint="eastAsia" w:ascii="Times New Roman" w:hAnsi="Times New Roman" w:eastAsia="宋体" w:cs="宋体"/>
          <w:sz w:val="24"/>
          <w:szCs w:val="24"/>
        </w:rPr>
        <w:t>个月。</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w:t>
      </w:r>
      <w:r>
        <w:rPr>
          <w:rFonts w:ascii="Times New Roman" w:hAnsi="Times New Roman" w:eastAsia="宋体" w:cs="宋体"/>
          <w:sz w:val="24"/>
          <w:szCs w:val="24"/>
        </w:rPr>
        <w:t>.</w:t>
      </w:r>
      <w:r>
        <w:rPr>
          <w:rFonts w:hint="eastAsia" w:ascii="Times New Roman" w:hAnsi="Times New Roman" w:eastAsia="宋体" w:cs="宋体"/>
          <w:sz w:val="24"/>
          <w:szCs w:val="24"/>
        </w:rPr>
        <w:t>质保期内免费提供针对本技术条件要求内容范围内的测试脚本开发适配服务。</w:t>
      </w:r>
    </w:p>
    <w:p>
      <w:pPr>
        <w:pStyle w:val="121"/>
        <w:spacing w:line="360" w:lineRule="auto"/>
      </w:pPr>
      <w:r>
        <w:rPr>
          <w:rFonts w:hint="eastAsia"/>
        </w:rPr>
        <w:t>二、技术及培训服务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2.应免费提供一定数量的培训资料。</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pPr>
      <w:r>
        <w:rPr>
          <w:rFonts w:hint="eastAsia"/>
        </w:rPr>
        <w:t>三、安装调试及验收服务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6.服务缺陷视同货物缺陷和履约延期。</w:t>
      </w:r>
    </w:p>
    <w:p>
      <w:pPr>
        <w:pStyle w:val="121"/>
        <w:spacing w:line="360" w:lineRule="auto"/>
      </w:pPr>
      <w:r>
        <w:rPr>
          <w:rFonts w:hint="eastAsia"/>
          <w:highlight w:val="yellow"/>
        </w:rPr>
        <w:t>四、售后服务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2.如发现所提供的货物存在问题，需要卖方解决或配合解决时：在质保期之内，应</w:t>
      </w:r>
      <w:r>
        <w:rPr>
          <w:rFonts w:hint="eastAsia" w:ascii="Times New Roman" w:hAnsi="Times New Roman" w:eastAsia="宋体" w:cs="宋体"/>
          <w:sz w:val="24"/>
          <w:szCs w:val="24"/>
          <w:highlight w:val="yellow"/>
        </w:rPr>
        <w:t>在接到通知后24小时内派有关人员到达现场；</w:t>
      </w:r>
      <w:r>
        <w:rPr>
          <w:rFonts w:hint="eastAsia" w:ascii="Times New Roman" w:hAnsi="Times New Roman" w:eastAsia="宋体" w:cs="宋体"/>
          <w:sz w:val="24"/>
          <w:szCs w:val="24"/>
        </w:rPr>
        <w:t>在质保期之外，应在接到通知后72小时内派有关人员到达现场。</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3.卖方派往买方使用现场的人员，应具有较高的业务素质；现场解决问题时，不得无故拖延或推迟，应为买方提供最佳的服务。</w:t>
      </w:r>
    </w:p>
    <w:p>
      <w:pPr>
        <w:pStyle w:val="121"/>
        <w:spacing w:line="360" w:lineRule="auto"/>
      </w:pPr>
      <w:r>
        <w:rPr>
          <w:rFonts w:hint="eastAsia"/>
        </w:rPr>
        <w:t>五、其它服务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3.本章节条款所列“免费”，并非指定不可收费，而是指招标文件、投标文件、答疑文件、技术交流文件、技术标书和合同等范围之外，投标人不可另行收取的费用。</w:t>
      </w:r>
    </w:p>
    <w:p>
      <w:pPr>
        <w:pStyle w:val="20"/>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br w:type="page"/>
      </w:r>
    </w:p>
    <w:p>
      <w:pPr>
        <w:keepNext/>
        <w:keepLines/>
        <w:spacing w:before="120" w:after="120" w:line="480" w:lineRule="exact"/>
        <w:jc w:val="center"/>
        <w:outlineLvl w:val="1"/>
        <w:rPr>
          <w:rFonts w:ascii="Times New Roman" w:hAnsi="Times New Roman" w:eastAsia="宋体" w:cs="Times New Roman"/>
          <w:b/>
          <w:bCs/>
          <w:kern w:val="44"/>
          <w:sz w:val="28"/>
          <w:szCs w:val="28"/>
        </w:rPr>
      </w:pPr>
      <w:bookmarkStart w:id="93" w:name="_Toc465187646"/>
      <w:r>
        <w:rPr>
          <w:rFonts w:hint="eastAsia" w:ascii="Times New Roman" w:hAnsi="Times New Roman" w:eastAsia="宋体" w:cs="Times New Roman"/>
          <w:b/>
          <w:bCs/>
          <w:kern w:val="44"/>
          <w:sz w:val="28"/>
          <w:szCs w:val="28"/>
        </w:rPr>
        <w:t>第五章  预验收和终验收</w:t>
      </w:r>
      <w:bookmarkEnd w:id="93"/>
    </w:p>
    <w:p>
      <w:pPr>
        <w:pStyle w:val="121"/>
        <w:spacing w:line="360" w:lineRule="auto"/>
      </w:pPr>
      <w:r>
        <w:rPr>
          <w:rFonts w:hint="eastAsia"/>
        </w:rPr>
        <w:t>一、验收依据和验收标准</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2.如果验收过程中，发现招标文件、投标文件、答疑文件、技术交流文件等与技术标书、合同存在差异，原则上以涉及条款中对买方最有利条款为验收依据。</w:t>
      </w:r>
    </w:p>
    <w:p>
      <w:pPr>
        <w:pStyle w:val="121"/>
        <w:spacing w:line="360" w:lineRule="auto"/>
      </w:pPr>
      <w:r>
        <w:rPr>
          <w:rFonts w:hint="eastAsia"/>
        </w:rPr>
        <w:t>二、检验</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2.进口货物的检验，卖方需要按照下述要求进行：</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pPr>
      <w:r>
        <w:rPr>
          <w:rFonts w:hint="eastAsia"/>
        </w:rPr>
        <w:t>三、验收基本条件</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1.预验收基本要求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1.1 卖方已经按照“供货范围”要求提供了预验收资料，并且资料齐全、完整和有效。</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1.4 货物标牌完整、清晰、明确。</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1.5</w:t>
      </w:r>
      <w:r>
        <w:rPr>
          <w:rFonts w:ascii="Times New Roman" w:hAnsi="Times New Roman" w:eastAsia="宋体" w:cs="宋体"/>
          <w:sz w:val="24"/>
          <w:szCs w:val="24"/>
        </w:rPr>
        <w:t xml:space="preserve"> </w:t>
      </w:r>
      <w:r>
        <w:rPr>
          <w:rFonts w:hint="eastAsia" w:ascii="Times New Roman" w:hAnsi="Times New Roman"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w:t>
      </w:r>
      <w:r>
        <w:rPr>
          <w:rFonts w:ascii="Times New Roman" w:hAnsi="Times New Roman" w:eastAsia="宋体" w:cs="宋体"/>
          <w:sz w:val="24"/>
          <w:szCs w:val="24"/>
        </w:rPr>
        <w:t xml:space="preserve">.6 </w:t>
      </w:r>
      <w:r>
        <w:rPr>
          <w:rFonts w:hint="eastAsia" w:ascii="Times New Roman" w:hAnsi="Times New Roman" w:eastAsia="宋体" w:cs="宋体"/>
          <w:sz w:val="24"/>
          <w:szCs w:val="24"/>
        </w:rPr>
        <w:t>系统设备品牌、型号、数量与合同约定内容一致；各设备资料齐全，完整有效。</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w:t>
      </w:r>
      <w:r>
        <w:rPr>
          <w:rFonts w:ascii="Times New Roman" w:hAnsi="Times New Roman" w:eastAsia="宋体" w:cs="宋体"/>
          <w:sz w:val="24"/>
          <w:szCs w:val="24"/>
        </w:rPr>
        <w:t>.7</w:t>
      </w:r>
      <w:r>
        <w:rPr>
          <w:rFonts w:hint="eastAsia" w:ascii="Times New Roman" w:hAnsi="Times New Roman" w:eastAsia="宋体" w:cs="宋体"/>
          <w:sz w:val="24"/>
          <w:szCs w:val="24"/>
        </w:rPr>
        <w:t xml:space="preserve"> 按约定技术方案对设备进行系统设计及原理、测试软件执行及脚本开发的讲解及培训。</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2.终验收一般条件</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2.1</w:t>
      </w:r>
      <w:r>
        <w:rPr>
          <w:rFonts w:hint="eastAsia" w:ascii="Times New Roman" w:hAnsi="Times New Roman" w:eastAsia="宋体" w:cs="宋体"/>
          <w:sz w:val="24"/>
          <w:szCs w:val="24"/>
        </w:rPr>
        <w:t>设备已完成硬件与软件系统的整体功能测试与调试，且功能正常。</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2.2</w:t>
      </w:r>
      <w:r>
        <w:rPr>
          <w:rFonts w:hint="eastAsia" w:ascii="Times New Roman" w:hAnsi="Times New Roman" w:eastAsia="宋体" w:cs="宋体"/>
          <w:sz w:val="24"/>
          <w:szCs w:val="24"/>
        </w:rPr>
        <w:t>通过了</w:t>
      </w:r>
      <w:r>
        <w:rPr>
          <w:rFonts w:ascii="Times New Roman" w:hAnsi="Times New Roman" w:eastAsia="宋体" w:cs="宋体"/>
          <w:sz w:val="24"/>
          <w:szCs w:val="24"/>
        </w:rPr>
        <w:t>预验收而且没有出现新的质量问题，或者满足预验收条款。</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2.3货物安装调试完毕，并至少经过了验收要求的负荷试运行。</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2.4货物正常运行时，噪声等环境影响因素满足国家和当地环保主管部门规定，安全措施落实、有效。</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2.5计量仪器、仪表配套合理，采用中国的法定计量单位，计量准确、灵敏可靠。保证设计指标和仪器说明书的参数的实现。</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2.6试运行期间或之后无维修、调整等行为（特殊情况除外）。</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2.7货物质量、技术性能等，达到签定的技术协议书和合同规定的终验收标准。</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w:t>
      </w:r>
      <w:r>
        <w:rPr>
          <w:rFonts w:ascii="Times New Roman" w:hAnsi="Times New Roman" w:eastAsia="宋体" w:cs="宋体"/>
          <w:sz w:val="24"/>
          <w:szCs w:val="24"/>
        </w:rPr>
        <w:t>8</w:t>
      </w:r>
      <w:r>
        <w:rPr>
          <w:rFonts w:hint="eastAsia" w:ascii="Times New Roman" w:hAnsi="Times New Roman" w:eastAsia="宋体" w:cs="宋体"/>
          <w:sz w:val="24"/>
          <w:szCs w:val="24"/>
        </w:rPr>
        <w:t>首次计量由乙方负责，由省级或以上的计量机构计量，按照系统约束的性能指标进行计量检定，合格后方可进行终验收。</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w:t>
      </w:r>
      <w:r>
        <w:rPr>
          <w:rFonts w:hint="eastAsia" w:ascii="Times New Roman" w:hAnsi="Times New Roman" w:eastAsia="宋体" w:cs="宋体"/>
          <w:sz w:val="24"/>
          <w:szCs w:val="24"/>
        </w:rPr>
        <w:t>终验收技术要求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w:t>
      </w:r>
      <w:r>
        <w:rPr>
          <w:rFonts w:ascii="Times New Roman" w:hAnsi="Times New Roman" w:eastAsia="宋体" w:cs="宋体"/>
          <w:sz w:val="24"/>
          <w:szCs w:val="24"/>
        </w:rPr>
        <w:t>.1设备安装调试完成后，再需要经过一个考核期的</w:t>
      </w:r>
      <w:r>
        <w:rPr>
          <w:rFonts w:hint="eastAsia" w:ascii="Times New Roman" w:hAnsi="Times New Roman" w:eastAsia="宋体" w:cs="宋体"/>
          <w:sz w:val="24"/>
          <w:szCs w:val="24"/>
        </w:rPr>
        <w:t>运行测试使用</w:t>
      </w:r>
      <w:r>
        <w:rPr>
          <w:rFonts w:ascii="Times New Roman" w:hAnsi="Times New Roman" w:eastAsia="宋体" w:cs="宋体"/>
          <w:sz w:val="24"/>
          <w:szCs w:val="24"/>
        </w:rPr>
        <w:t>，考核整个系统的</w:t>
      </w:r>
      <w:r>
        <w:rPr>
          <w:rFonts w:hint="eastAsia" w:ascii="Times New Roman" w:hAnsi="Times New Roman" w:eastAsia="宋体" w:cs="宋体"/>
          <w:sz w:val="24"/>
          <w:szCs w:val="24"/>
        </w:rPr>
        <w:t>软硬件的</w:t>
      </w:r>
      <w:r>
        <w:rPr>
          <w:rFonts w:ascii="Times New Roman" w:hAnsi="Times New Roman" w:eastAsia="宋体" w:cs="宋体"/>
          <w:sz w:val="24"/>
          <w:szCs w:val="24"/>
        </w:rPr>
        <w:t>可靠性</w:t>
      </w:r>
      <w:r>
        <w:rPr>
          <w:rFonts w:hint="eastAsia" w:ascii="Times New Roman" w:hAnsi="Times New Roman" w:eastAsia="宋体" w:cs="宋体"/>
          <w:sz w:val="24"/>
          <w:szCs w:val="24"/>
        </w:rPr>
        <w:t>、测试脚本的可靠性。</w:t>
      </w:r>
      <w:r>
        <w:rPr>
          <w:rFonts w:ascii="Times New Roman" w:hAnsi="Times New Roman" w:eastAsia="宋体" w:cs="宋体"/>
          <w:sz w:val="24"/>
          <w:szCs w:val="24"/>
        </w:rPr>
        <w:t>考核期不少于30个工作日，考核期间不得出现影响设备使用性能的重要故障或重要部件损坏，</w:t>
      </w:r>
      <w:r>
        <w:rPr>
          <w:rFonts w:hint="eastAsia" w:ascii="Times New Roman" w:hAnsi="Times New Roman" w:eastAsia="宋体" w:cs="宋体"/>
          <w:sz w:val="24"/>
          <w:szCs w:val="24"/>
        </w:rPr>
        <w:t>测试脚本执行不得出现bug，</w:t>
      </w:r>
      <w:r>
        <w:rPr>
          <w:rFonts w:ascii="Times New Roman" w:hAnsi="Times New Roman" w:eastAsia="宋体" w:cs="宋体"/>
          <w:sz w:val="24"/>
          <w:szCs w:val="24"/>
        </w:rPr>
        <w:t>考核期满足要求后进行最终验收</w:t>
      </w:r>
      <w:r>
        <w:rPr>
          <w:rFonts w:hint="eastAsia" w:ascii="Times New Roman" w:hAnsi="Times New Roman" w:eastAsia="宋体" w:cs="宋体"/>
          <w:sz w:val="24"/>
          <w:szCs w:val="24"/>
        </w:rPr>
        <w:t>。</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3.2由买方和卖方共同组织设备的终验收，所提供测试系统设备必须满足本技术协议</w:t>
      </w:r>
      <w:r>
        <w:rPr>
          <w:rFonts w:hint="eastAsia" w:ascii="Times New Roman" w:hAnsi="Times New Roman" w:eastAsia="宋体" w:cs="宋体"/>
          <w:sz w:val="24"/>
          <w:szCs w:val="24"/>
        </w:rPr>
        <w:t>及合同约定的</w:t>
      </w:r>
      <w:r>
        <w:rPr>
          <w:rFonts w:ascii="Times New Roman" w:hAnsi="Times New Roman" w:eastAsia="宋体" w:cs="宋体"/>
          <w:sz w:val="24"/>
          <w:szCs w:val="24"/>
        </w:rPr>
        <w:t>全部技术要求，验收内容应包含但不仅限于以下内容：</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1</w:t>
      </w:r>
      <w:r>
        <w:rPr>
          <w:rFonts w:hint="eastAsia" w:ascii="Times New Roman" w:hAnsi="Times New Roman" w:eastAsia="宋体" w:cs="宋体"/>
          <w:sz w:val="24"/>
          <w:szCs w:val="24"/>
        </w:rPr>
        <w:t>）</w:t>
      </w:r>
      <w:r>
        <w:rPr>
          <w:rFonts w:hint="eastAsia" w:ascii="Times New Roman" w:hAnsi="Times New Roman" w:eastAsia="宋体" w:cs="Times New Roman"/>
          <w:sz w:val="24"/>
          <w:szCs w:val="24"/>
        </w:rPr>
        <w:t>CAN/LIN/CANFD网络测试脚本测试执行</w:t>
      </w:r>
      <w:r>
        <w:rPr>
          <w:rFonts w:ascii="Times New Roman" w:hAnsi="Times New Roman" w:eastAsia="宋体" w:cs="宋体"/>
          <w:sz w:val="24"/>
          <w:szCs w:val="24"/>
        </w:rPr>
        <w:t>；</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w:t>
      </w:r>
      <w:r>
        <w:rPr>
          <w:rFonts w:hint="eastAsia" w:ascii="Times New Roman" w:hAnsi="Times New Roman" w:eastAsia="宋体" w:cs="宋体"/>
          <w:sz w:val="24"/>
          <w:szCs w:val="24"/>
        </w:rPr>
        <w:t>）以太网测试脚本测试执行；</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w:t>
      </w:r>
      <w:r>
        <w:rPr>
          <w:rFonts w:hint="eastAsia" w:ascii="Times New Roman" w:hAnsi="Times New Roman" w:eastAsia="宋体" w:cs="宋体"/>
          <w:sz w:val="24"/>
          <w:szCs w:val="24"/>
        </w:rPr>
        <w:t>）</w:t>
      </w:r>
      <w:r>
        <w:rPr>
          <w:rFonts w:hint="eastAsia" w:ascii="Times New Roman" w:hAnsi="Times New Roman" w:eastAsia="宋体" w:cs="Times New Roman"/>
          <w:sz w:val="24"/>
          <w:szCs w:val="24"/>
        </w:rPr>
        <w:t>CAN/LIN/CANFD网络测试系统脚本开发环境测试；</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4</w:t>
      </w:r>
      <w:r>
        <w:rPr>
          <w:rFonts w:hint="eastAsia" w:ascii="Times New Roman" w:hAnsi="Times New Roman" w:eastAsia="宋体" w:cs="宋体"/>
          <w:sz w:val="24"/>
          <w:szCs w:val="24"/>
        </w:rPr>
        <w:t>）以太网测试脚本开发环境测试；</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5）测试用例测试规范的完整度和覆盖度。</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3.3由买方和卖方共同编制终验收报告并签字确认；</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3.4终验收期间，卖方自行负责交通、食宿、保险等费用；</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3.5最终验收以双方签订的合同和条件为准，逐项进行最终验收；</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3.6对于终验收买方提出的问题，卖方应在15个工作日内完成整改。</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3.7终验收通过后买卖双方共同签署终验收报告，并移交、核对全部供货范围内物品。</w:t>
      </w:r>
    </w:p>
    <w:p>
      <w:pPr>
        <w:adjustRightInd w:val="0"/>
        <w:snapToGrid w:val="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keepNext/>
        <w:keepLines/>
        <w:spacing w:before="120" w:after="120" w:line="480" w:lineRule="exact"/>
        <w:jc w:val="center"/>
        <w:outlineLvl w:val="1"/>
        <w:rPr>
          <w:rFonts w:ascii="Times New Roman" w:hAnsi="Times New Roman" w:eastAsia="宋体" w:cs="Times New Roman"/>
          <w:b/>
          <w:bCs/>
          <w:kern w:val="44"/>
          <w:sz w:val="28"/>
          <w:szCs w:val="28"/>
        </w:rPr>
      </w:pPr>
      <w:bookmarkStart w:id="94" w:name="_Toc131008493"/>
      <w:bookmarkStart w:id="95" w:name="_Toc30824"/>
      <w:bookmarkStart w:id="96" w:name="_Toc465187647"/>
      <w:r>
        <w:rPr>
          <w:rFonts w:hint="eastAsia" w:ascii="Times New Roman" w:hAnsi="Times New Roman" w:eastAsia="宋体" w:cs="Times New Roman"/>
          <w:b/>
          <w:bCs/>
          <w:kern w:val="44"/>
          <w:sz w:val="28"/>
          <w:szCs w:val="28"/>
        </w:rPr>
        <w:t>第六章  投标技术文件一般要求</w:t>
      </w:r>
      <w:bookmarkEnd w:id="94"/>
      <w:bookmarkEnd w:id="95"/>
      <w:bookmarkEnd w:id="96"/>
    </w:p>
    <w:p>
      <w:pPr>
        <w:pStyle w:val="121"/>
        <w:spacing w:line="360" w:lineRule="auto"/>
      </w:pPr>
      <w:r>
        <w:rPr>
          <w:rFonts w:hint="eastAsia"/>
        </w:rPr>
        <w:t>一、技术文件一般内容要求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类填入下表：</w:t>
      </w:r>
    </w:p>
    <w:p>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pPr>
              <w:adjustRightInd w:val="0"/>
              <w:snapToGrid w:val="0"/>
              <w:spacing w:line="360" w:lineRule="exact"/>
              <w:jc w:val="center"/>
              <w:rPr>
                <w:rFonts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6.3应当尽可能将货物的配置列全、列细，这将有助于投标人胜出；</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6.5本条款表格中的制造商，应当为全称或公认的简称。</w:t>
      </w:r>
    </w:p>
    <w:p>
      <w:pPr>
        <w:pStyle w:val="121"/>
        <w:spacing w:line="360" w:lineRule="auto"/>
      </w:pPr>
      <w:r>
        <w:rPr>
          <w:rFonts w:hint="eastAsia"/>
        </w:rPr>
        <w:t>二、技术文件中货物报价格式要求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2.如果投标总报价与其它价格出现错误或不一致，将有可能导致废标。</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4.备品备件、易损件和专用耗材，招标人将可能与投标人按照投标价格另行签署供货合同。</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5.要求投标总报价、分项报价、明细报价之间应当具有相互间对应关系以及填报分项和明细报价，仅为便于评标而不妨碍投标人以最合适的形式签署合同。</w:t>
      </w:r>
    </w:p>
    <w:p>
      <w:pPr>
        <w:pStyle w:val="121"/>
        <w:spacing w:line="360" w:lineRule="auto"/>
      </w:pPr>
      <w:r>
        <w:rPr>
          <w:rFonts w:hint="eastAsia"/>
        </w:rPr>
        <w:t>三、验收标准及内容要求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Times New Roman" w:hAnsi="Times New Roman" w:cs="宋体"/>
          <w:b w:val="0"/>
          <w:sz w:val="24"/>
          <w:szCs w:val="24"/>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97" w:name="_Toc465187648"/>
    </w:p>
    <w:bookmarkEnd w:id="97"/>
    <w:p>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5.5  该类报告或证明材料对于投标方胜出乃至中标极为重要！</w:t>
      </w:r>
    </w:p>
    <w:p>
      <w:pPr>
        <w:spacing w:line="420" w:lineRule="exact"/>
        <w:ind w:firstLine="479" w:firstLineChars="199"/>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pacing w:line="420" w:lineRule="exact"/>
        <w:ind w:firstLine="479" w:firstLineChars="199"/>
        <w:rPr>
          <w:rFonts w:ascii="Times New Roman" w:hAnsi="Times New Roman" w:eastAsia="宋体" w:cs="Times New Roman"/>
          <w:b/>
          <w:color w:val="000000"/>
          <w:sz w:val="24"/>
          <w:szCs w:val="20"/>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4、招标文件、投标文件、答疑文件、技术交流文件、技术协议书等，在采购过程全部为有效文件，如有差异，以对招标方最有利的条款为准。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5、为避免</w:t>
      </w:r>
      <w:r>
        <w:rPr>
          <w:rFonts w:hint="eastAsia" w:ascii="Times New Roman" w:hAnsi="Times New Roman" w:eastAsia="宋体" w:cs="Times New Roman"/>
          <w:color w:val="000000"/>
          <w:sz w:val="24"/>
          <w:szCs w:val="20"/>
        </w:rPr>
        <w:t>歧义</w:t>
      </w:r>
      <w:r>
        <w:rPr>
          <w:rFonts w:ascii="Times New Roman" w:hAnsi="Times New Roman" w:eastAsia="宋体" w:cs="Times New Roman"/>
          <w:color w:val="000000"/>
          <w:sz w:val="24"/>
          <w:szCs w:val="20"/>
        </w:rPr>
        <w:t>，本技术标书涉及招投标环节的条款，均将潜在的卖方称为投标方、将买方称为招标方；定标后合同签署环节以及后续的合同执行环节条款，招标方称为买方、投标方中的中标方称为卖方。</w:t>
      </w:r>
    </w:p>
    <w:p>
      <w:pPr>
        <w:pStyle w:val="20"/>
        <w:spacing w:line="360" w:lineRule="auto"/>
        <w:rPr>
          <w:rFonts w:hAnsi="宋体" w:eastAsia="宋体" w:cs="宋体"/>
        </w:rPr>
        <w:sectPr>
          <w:footerReference r:id="rId14" w:type="first"/>
          <w:footerReference r:id="rId13" w:type="default"/>
          <w:pgSz w:w="11907" w:h="16840"/>
          <w:pgMar w:top="1304" w:right="1418" w:bottom="1304" w:left="1418" w:header="724" w:footer="851" w:gutter="0"/>
          <w:cols w:space="720" w:num="1"/>
          <w:docGrid w:linePitch="290" w:charSpace="-3931"/>
        </w:sectPr>
      </w:pPr>
    </w:p>
    <w:p>
      <w:pPr>
        <w:pStyle w:val="20"/>
      </w:pPr>
    </w:p>
    <w:p>
      <w:pPr>
        <w:spacing w:line="360" w:lineRule="auto"/>
        <w:jc w:val="center"/>
        <w:outlineLvl w:val="0"/>
        <w:rPr>
          <w:rFonts w:ascii="宋体" w:hAnsi="Calibri" w:eastAsia="宋体" w:cs="Times New Roman"/>
          <w:b/>
          <w:sz w:val="36"/>
          <w:szCs w:val="36"/>
        </w:rPr>
      </w:pPr>
      <w:bookmarkStart w:id="98"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9" w:name="_Toc11930"/>
      <w:bookmarkStart w:id="100" w:name="_Toc11823"/>
      <w:bookmarkStart w:id="101" w:name="_Toc17619"/>
      <w:bookmarkStart w:id="102" w:name="_Toc16330018"/>
      <w:bookmarkStart w:id="103" w:name="_Toc9465"/>
      <w:r>
        <w:rPr>
          <w:rFonts w:hint="eastAsia" w:ascii="黑体" w:hAnsi="黑体" w:eastAsia="黑体" w:cstheme="minorEastAsia"/>
          <w:b w:val="0"/>
          <w:sz w:val="28"/>
          <w:szCs w:val="28"/>
        </w:rPr>
        <w:t>1 合同设备</w:t>
      </w:r>
      <w:bookmarkEnd w:id="99"/>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04" w:name="_Toc29026"/>
      <w:bookmarkStart w:id="105" w:name="_Toc32510"/>
      <w:bookmarkStart w:id="106"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7" w:name="_Toc7716"/>
      <w:bookmarkStart w:id="108" w:name="_Toc16330019"/>
      <w:r>
        <w:rPr>
          <w:rFonts w:hint="eastAsia" w:ascii="黑体" w:hAnsi="黑体" w:eastAsia="黑体" w:cstheme="minorEastAsia"/>
          <w:b w:val="0"/>
          <w:sz w:val="28"/>
          <w:szCs w:val="28"/>
        </w:rPr>
        <w:t>2 包装</w:t>
      </w:r>
      <w:bookmarkEnd w:id="104"/>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9" w:name="_Toc2833"/>
      <w:bookmarkStart w:id="110" w:name="_Toc16330020"/>
      <w:bookmarkStart w:id="111" w:name="_Toc27453"/>
      <w:bookmarkStart w:id="112" w:name="_Toc30507"/>
      <w:bookmarkStart w:id="113" w:name="_Toc27144"/>
      <w:r>
        <w:rPr>
          <w:rFonts w:hint="eastAsia" w:ascii="黑体" w:hAnsi="黑体" w:eastAsia="黑体" w:cstheme="minorEastAsia"/>
          <w:b w:val="0"/>
          <w:sz w:val="28"/>
          <w:szCs w:val="28"/>
        </w:rPr>
        <w:t>3 运输标记</w:t>
      </w:r>
      <w:bookmarkEnd w:id="109"/>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4" w:name="_Toc16133"/>
      <w:bookmarkStart w:id="115" w:name="_Toc8624"/>
      <w:bookmarkStart w:id="116" w:name="_Toc7431"/>
      <w:bookmarkStart w:id="117" w:name="_Toc10630"/>
      <w:bookmarkStart w:id="118" w:name="_Toc16330021"/>
      <w:r>
        <w:rPr>
          <w:rFonts w:hint="eastAsia" w:ascii="黑体" w:hAnsi="黑体" w:eastAsia="黑体" w:cstheme="minorEastAsia"/>
          <w:b w:val="0"/>
          <w:sz w:val="28"/>
          <w:szCs w:val="28"/>
        </w:rPr>
        <w:t>4 检验</w:t>
      </w:r>
      <w:bookmarkEnd w:id="114"/>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9" w:name="_Toc24467"/>
      <w:bookmarkStart w:id="120" w:name="_Toc19850"/>
      <w:bookmarkStart w:id="121" w:name="_Toc14275"/>
      <w:bookmarkStart w:id="122" w:name="_Toc16330022"/>
      <w:bookmarkStart w:id="123" w:name="_Toc11217"/>
      <w:r>
        <w:rPr>
          <w:rFonts w:hint="eastAsia" w:ascii="黑体" w:hAnsi="黑体" w:eastAsia="黑体" w:cstheme="minorEastAsia"/>
          <w:b w:val="0"/>
          <w:sz w:val="28"/>
          <w:szCs w:val="28"/>
        </w:rPr>
        <w:t>5 权利担保</w:t>
      </w:r>
      <w:bookmarkEnd w:id="119"/>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24" w:name="_Toc20827"/>
      <w:bookmarkStart w:id="125" w:name="_Toc16330023"/>
      <w:bookmarkStart w:id="126" w:name="_Toc14809"/>
      <w:bookmarkStart w:id="127" w:name="_Toc11759"/>
      <w:bookmarkStart w:id="128" w:name="_Toc27500"/>
      <w:r>
        <w:rPr>
          <w:rFonts w:hint="eastAsia" w:ascii="黑体" w:hAnsi="黑体" w:eastAsia="黑体" w:cstheme="minorEastAsia"/>
          <w:b w:val="0"/>
          <w:sz w:val="28"/>
          <w:szCs w:val="28"/>
        </w:rPr>
        <w:t>6 交货</w:t>
      </w:r>
      <w:bookmarkEnd w:id="124"/>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29" w:name="_Toc16330024"/>
      <w:bookmarkStart w:id="130" w:name="_Toc25510"/>
      <w:bookmarkStart w:id="131" w:name="_Toc2984"/>
      <w:bookmarkStart w:id="132" w:name="_Toc8024"/>
      <w:bookmarkStart w:id="133" w:name="_Toc23308"/>
      <w:r>
        <w:rPr>
          <w:rFonts w:hint="eastAsia" w:ascii="黑体" w:hAnsi="黑体" w:eastAsia="黑体" w:cstheme="minorEastAsia"/>
          <w:b w:val="0"/>
          <w:sz w:val="28"/>
          <w:szCs w:val="28"/>
        </w:rPr>
        <w:t>7 安装、调试</w:t>
      </w:r>
      <w:bookmarkEnd w:id="129"/>
      <w:bookmarkEnd w:id="130"/>
      <w:bookmarkEnd w:id="131"/>
      <w:bookmarkEnd w:id="132"/>
      <w:bookmarkEnd w:id="133"/>
    </w:p>
    <w:p>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4" w:name="_Toc16330025"/>
      <w:bookmarkStart w:id="135" w:name="_Toc14098"/>
      <w:bookmarkStart w:id="136" w:name="_Toc14260"/>
      <w:bookmarkStart w:id="137" w:name="_Toc6350"/>
      <w:bookmarkStart w:id="138" w:name="_Toc15547"/>
      <w:r>
        <w:rPr>
          <w:rFonts w:hint="eastAsia" w:ascii="黑体" w:hAnsi="黑体" w:eastAsia="黑体" w:cstheme="minorEastAsia"/>
          <w:b w:val="0"/>
          <w:sz w:val="28"/>
          <w:szCs w:val="28"/>
        </w:rPr>
        <w:t>8 价款与支付</w:t>
      </w:r>
      <w:bookmarkEnd w:id="134"/>
      <w:bookmarkEnd w:id="135"/>
      <w:bookmarkEnd w:id="136"/>
      <w:bookmarkEnd w:id="137"/>
      <w:bookmarkEnd w:id="13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39" w:name="_Toc14531628"/>
      <w:bookmarkStart w:id="140"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39"/>
      <w:bookmarkEnd w:id="140"/>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 w:name="_Toc25708"/>
      <w:bookmarkStart w:id="142" w:name="_Toc6726"/>
      <w:bookmarkStart w:id="143" w:name="_Toc21726"/>
      <w:bookmarkStart w:id="144" w:name="_Toc16330026"/>
      <w:bookmarkStart w:id="145" w:name="_Toc24085"/>
      <w:r>
        <w:rPr>
          <w:rFonts w:hint="eastAsia" w:ascii="黑体" w:hAnsi="黑体" w:eastAsia="黑体" w:cstheme="minorEastAsia"/>
          <w:b w:val="0"/>
          <w:sz w:val="28"/>
          <w:szCs w:val="28"/>
        </w:rPr>
        <w:t>9 质量保证及售后服务</w:t>
      </w:r>
      <w:bookmarkEnd w:id="141"/>
      <w:bookmarkEnd w:id="142"/>
      <w:bookmarkEnd w:id="143"/>
      <w:bookmarkEnd w:id="144"/>
      <w:bookmarkEnd w:id="14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6" w:name="_Toc26769"/>
      <w:bookmarkStart w:id="147" w:name="_Toc12927"/>
      <w:bookmarkStart w:id="148" w:name="_Toc16330027"/>
      <w:bookmarkStart w:id="149" w:name="_Toc10359"/>
      <w:bookmarkStart w:id="150" w:name="_Toc15570"/>
      <w:r>
        <w:rPr>
          <w:rFonts w:hint="eastAsia" w:ascii="黑体" w:hAnsi="黑体" w:eastAsia="黑体" w:cstheme="minorEastAsia"/>
          <w:b w:val="0"/>
          <w:sz w:val="28"/>
          <w:szCs w:val="28"/>
        </w:rPr>
        <w:t>10法定责任</w:t>
      </w:r>
      <w:bookmarkEnd w:id="146"/>
      <w:bookmarkEnd w:id="147"/>
      <w:bookmarkEnd w:id="148"/>
      <w:bookmarkEnd w:id="149"/>
      <w:bookmarkEnd w:id="15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51" w:name="_Toc16330028"/>
      <w:bookmarkStart w:id="152" w:name="_Toc30381"/>
      <w:bookmarkStart w:id="153" w:name="_Toc27314"/>
      <w:bookmarkStart w:id="154" w:name="_Toc7698"/>
      <w:bookmarkStart w:id="155" w:name="_Toc9708"/>
      <w:r>
        <w:rPr>
          <w:rFonts w:hint="eastAsia" w:ascii="黑体" w:hAnsi="黑体" w:eastAsia="黑体" w:cstheme="minorEastAsia"/>
          <w:b w:val="0"/>
          <w:sz w:val="28"/>
          <w:szCs w:val="28"/>
        </w:rPr>
        <w:t>11 违约责任</w:t>
      </w:r>
      <w:bookmarkEnd w:id="151"/>
      <w:bookmarkEnd w:id="152"/>
      <w:bookmarkEnd w:id="153"/>
      <w:bookmarkEnd w:id="154"/>
      <w:bookmarkEnd w:id="15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56" w:name="_Toc31554"/>
      <w:bookmarkStart w:id="157" w:name="_Toc1827"/>
      <w:bookmarkStart w:id="158" w:name="_Toc16330029"/>
      <w:bookmarkStart w:id="159" w:name="_Toc9172"/>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56"/>
    <w:bookmarkEnd w:id="157"/>
    <w:bookmarkEnd w:id="158"/>
    <w:bookmarkEnd w:id="159"/>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60" w:name="_Toc23793"/>
      <w:r>
        <w:rPr>
          <w:rFonts w:hint="eastAsia" w:ascii="黑体" w:hAnsi="黑体" w:eastAsia="黑体" w:cstheme="minorEastAsia"/>
          <w:b w:val="0"/>
          <w:sz w:val="28"/>
          <w:szCs w:val="28"/>
        </w:rPr>
        <w:t>12 合同的终止与解除</w:t>
      </w:r>
      <w:bookmarkEnd w:id="16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61" w:name="_Toc31945"/>
      <w:bookmarkStart w:id="162" w:name="_Toc13671"/>
      <w:bookmarkStart w:id="163" w:name="_Toc16330030"/>
      <w:bookmarkStart w:id="164" w:name="_Toc8620"/>
      <w:bookmarkStart w:id="165" w:name="_Toc11937"/>
      <w:r>
        <w:rPr>
          <w:rFonts w:hint="eastAsia" w:ascii="黑体" w:hAnsi="黑体" w:eastAsia="黑体" w:cstheme="minorEastAsia"/>
          <w:b w:val="0"/>
          <w:sz w:val="28"/>
          <w:szCs w:val="28"/>
        </w:rPr>
        <w:t>13 不可抗力</w:t>
      </w:r>
      <w:bookmarkEnd w:id="161"/>
      <w:bookmarkEnd w:id="162"/>
      <w:bookmarkEnd w:id="163"/>
      <w:bookmarkEnd w:id="164"/>
      <w:bookmarkEnd w:id="1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66" w:name="_Toc31243"/>
      <w:bookmarkStart w:id="167" w:name="_Toc18772"/>
      <w:bookmarkStart w:id="168" w:name="_Toc637"/>
      <w:bookmarkStart w:id="169" w:name="_Toc16330031"/>
      <w:bookmarkStart w:id="170" w:name="_Toc30389"/>
      <w:r>
        <w:rPr>
          <w:rFonts w:hint="eastAsia" w:ascii="黑体" w:hAnsi="黑体" w:eastAsia="黑体" w:cstheme="minorEastAsia"/>
          <w:b w:val="0"/>
          <w:sz w:val="28"/>
          <w:szCs w:val="28"/>
        </w:rPr>
        <w:t>14 通讯</w:t>
      </w:r>
      <w:bookmarkEnd w:id="166"/>
      <w:bookmarkEnd w:id="167"/>
      <w:bookmarkEnd w:id="168"/>
      <w:bookmarkEnd w:id="169"/>
      <w:bookmarkEnd w:id="1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312" w:beforeLines="100"/>
        <w:rPr>
          <w:rFonts w:ascii="黑体" w:hAnsi="黑体" w:eastAsia="黑体" w:cstheme="minorEastAsia"/>
          <w:b w:val="0"/>
          <w:sz w:val="28"/>
          <w:szCs w:val="28"/>
        </w:rPr>
      </w:pPr>
      <w:bookmarkStart w:id="171" w:name="_Toc23011"/>
      <w:bookmarkStart w:id="172" w:name="_Toc9915"/>
      <w:bookmarkStart w:id="173" w:name="_Toc16330032"/>
      <w:bookmarkStart w:id="174" w:name="_Toc11290"/>
      <w:bookmarkStart w:id="175" w:name="_Toc12984"/>
      <w:r>
        <w:rPr>
          <w:rFonts w:hint="eastAsia" w:ascii="黑体" w:hAnsi="黑体" w:eastAsia="黑体" w:cstheme="minorEastAsia"/>
          <w:b w:val="0"/>
          <w:sz w:val="28"/>
          <w:szCs w:val="28"/>
        </w:rPr>
        <w:t>15 适用法律及争议解决</w:t>
      </w:r>
      <w:bookmarkEnd w:id="171"/>
      <w:bookmarkEnd w:id="172"/>
      <w:bookmarkEnd w:id="173"/>
      <w:bookmarkEnd w:id="174"/>
      <w:bookmarkEnd w:id="1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76" w:name="_Toc23906"/>
      <w:bookmarkStart w:id="177" w:name="_Toc18207"/>
      <w:bookmarkStart w:id="178" w:name="_Toc5747"/>
      <w:bookmarkStart w:id="179" w:name="_Toc16330033"/>
      <w:bookmarkStart w:id="180" w:name="_Toc23765"/>
      <w:r>
        <w:rPr>
          <w:rFonts w:hint="eastAsia" w:ascii="黑体" w:hAnsi="黑体" w:eastAsia="黑体" w:cstheme="minorEastAsia"/>
          <w:b w:val="0"/>
          <w:sz w:val="28"/>
          <w:szCs w:val="28"/>
        </w:rPr>
        <w:t>16 附件</w:t>
      </w:r>
      <w:bookmarkEnd w:id="176"/>
      <w:bookmarkEnd w:id="177"/>
      <w:bookmarkEnd w:id="178"/>
      <w:bookmarkEnd w:id="179"/>
      <w:bookmarkEnd w:id="1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81" w:name="_Toc9594"/>
      <w:bookmarkStart w:id="182" w:name="_Toc16330034"/>
      <w:bookmarkStart w:id="183" w:name="_Toc17656"/>
      <w:bookmarkStart w:id="184" w:name="_Toc27202"/>
      <w:bookmarkStart w:id="185" w:name="_Toc31331"/>
      <w:r>
        <w:rPr>
          <w:rFonts w:hint="eastAsia" w:ascii="黑体" w:hAnsi="黑体" w:eastAsia="黑体" w:cstheme="minorEastAsia"/>
          <w:b w:val="0"/>
          <w:sz w:val="28"/>
          <w:szCs w:val="28"/>
        </w:rPr>
        <w:t>17 其他规定</w:t>
      </w:r>
      <w:bookmarkEnd w:id="181"/>
      <w:bookmarkEnd w:id="182"/>
      <w:bookmarkEnd w:id="183"/>
      <w:bookmarkEnd w:id="184"/>
      <w:bookmarkEnd w:id="1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86" w:name="_Toc19077"/>
      <w:bookmarkStart w:id="187" w:name="_Toc17952"/>
      <w:bookmarkStart w:id="188" w:name="_Toc16330035"/>
      <w:bookmarkStart w:id="189"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90" w:name="_Toc15340"/>
      <w:r>
        <w:rPr>
          <w:rFonts w:hint="eastAsia" w:ascii="黑体" w:hAnsi="黑体" w:eastAsia="黑体" w:cstheme="minorEastAsia"/>
          <w:b w:val="0"/>
          <w:sz w:val="28"/>
          <w:szCs w:val="28"/>
        </w:rPr>
        <w:t>18 签署事项</w:t>
      </w:r>
      <w:bookmarkEnd w:id="186"/>
      <w:bookmarkEnd w:id="187"/>
      <w:bookmarkEnd w:id="188"/>
      <w:bookmarkEnd w:id="189"/>
      <w:bookmarkEnd w:id="1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91" w:name="_Toc16330036"/>
      <w:bookmarkStart w:id="192" w:name="_Toc28611"/>
      <w:bookmarkStart w:id="193" w:name="_Toc15689"/>
      <w:bookmarkStart w:id="194" w:name="_Toc10272"/>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91"/>
    <w:bookmarkEnd w:id="192"/>
    <w:bookmarkEnd w:id="193"/>
    <w:bookmarkEnd w:id="194"/>
    <w:p>
      <w:pPr>
        <w:rPr>
          <w:sz w:val="24"/>
          <w:szCs w:val="24"/>
        </w:rPr>
      </w:pPr>
    </w:p>
    <w:p>
      <w:pPr>
        <w:pStyle w:val="5"/>
        <w:tabs>
          <w:tab w:val="right" w:leader="dot" w:pos="9061"/>
        </w:tabs>
        <w:ind w:firstLine="280" w:firstLineChars="100"/>
        <w:rPr>
          <w:rFonts w:ascii="黑体" w:hAnsi="黑体" w:eastAsia="黑体" w:cstheme="minorEastAsia"/>
          <w:b w:val="0"/>
          <w:sz w:val="28"/>
          <w:szCs w:val="28"/>
        </w:rPr>
      </w:pPr>
      <w:bookmarkStart w:id="195" w:name="_Toc14581"/>
      <w:r>
        <w:rPr>
          <w:rFonts w:hint="eastAsia" w:ascii="黑体" w:hAnsi="黑体" w:eastAsia="黑体" w:cstheme="minorEastAsia"/>
          <w:b w:val="0"/>
          <w:sz w:val="28"/>
          <w:szCs w:val="28"/>
        </w:rPr>
        <w:t>附件一：设备清单明细表</w:t>
      </w:r>
      <w:bookmarkEnd w:id="195"/>
    </w:p>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96" w:name="_Toc5379"/>
      <w:bookmarkStart w:id="197" w:name="_Toc16330037"/>
      <w:bookmarkStart w:id="198" w:name="_Toc24623"/>
      <w:bookmarkStart w:id="199" w:name="_Toc25120"/>
      <w:bookmarkStart w:id="200" w:name="_Toc3778"/>
    </w:p>
    <w:p>
      <w:pPr>
        <w:rPr>
          <w:rFonts w:hint="eastAsia" w:ascii="黑体" w:hAnsi="黑体" w:eastAsia="黑体" w:cstheme="minorEastAsia"/>
          <w:sz w:val="28"/>
          <w:szCs w:val="28"/>
        </w:rPr>
      </w:pPr>
      <w:bookmarkStart w:id="201" w:name="_Toc8175"/>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r>
        <w:rPr>
          <w:rFonts w:hint="eastAsia" w:ascii="黑体" w:hAnsi="黑体" w:eastAsia="黑体" w:cstheme="minorEastAsia"/>
          <w:sz w:val="28"/>
          <w:szCs w:val="28"/>
        </w:rPr>
        <w:t xml:space="preserve">附件二 </w:t>
      </w:r>
      <w:bookmarkEnd w:id="196"/>
      <w:bookmarkEnd w:id="197"/>
      <w:bookmarkEnd w:id="198"/>
      <w:bookmarkEnd w:id="199"/>
      <w:bookmarkEnd w:id="200"/>
      <w:r>
        <w:rPr>
          <w:rFonts w:hint="eastAsia" w:ascii="黑体" w:hAnsi="黑体" w:eastAsia="黑体" w:cstheme="minorEastAsia"/>
          <w:sz w:val="28"/>
          <w:szCs w:val="28"/>
        </w:rPr>
        <w:t>技术协议书</w:t>
      </w:r>
      <w:bookmarkEnd w:id="201"/>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202"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202"/>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pPr>
      <w:r>
        <w:rPr>
          <w:rFonts w:hint="eastAsia" w:ascii="宋体" w:hAnsi="宋体" w:eastAsia="宋体" w:cs="宋体"/>
          <w:sz w:val="24"/>
          <w:szCs w:val="24"/>
        </w:rPr>
        <w:t>5、所有附件文件应以中文书写，作为投标文件的组成部分。</w:t>
      </w:r>
    </w:p>
    <w:p>
      <w:pPr>
        <w:bidi w:val="0"/>
      </w:pPr>
    </w:p>
    <w:p>
      <w:pPr>
        <w:bidi w:val="0"/>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3" w:name="_Toc639004"/>
      <w:bookmarkStart w:id="204" w:name="_Toc353881012"/>
      <w:bookmarkStart w:id="205" w:name="_Toc25811"/>
      <w:bookmarkStart w:id="206"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03"/>
      <w:bookmarkEnd w:id="204"/>
      <w:bookmarkEnd w:id="205"/>
      <w:bookmarkEnd w:id="20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hint="eastAsia" w:ascii="宋体" w:hAnsi="宋体" w:eastAsia="宋体" w:cs="Times New Roman"/>
          <w:b/>
          <w:bCs/>
          <w:color w:val="000000"/>
          <w:sz w:val="24"/>
          <w:szCs w:val="24"/>
          <w:u w:val="single"/>
          <w:lang w:eastAsia="zh-CN"/>
        </w:rPr>
        <w:t>（CGZX2025090129）</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ascii="Times New Roman" w:hAnsi="Times New Roman" w:eastAsia="宋体" w:cs="Times New Roman"/>
                <w:b/>
                <w:szCs w:val="21"/>
              </w:rPr>
            </w:pPr>
            <w:r>
              <w:rPr>
                <w:rFonts w:hint="eastAsia" w:ascii="宋体" w:hAnsi="宋体" w:eastAsia="宋体" w:cs="Times New Roman"/>
                <w:b/>
                <w:bCs/>
                <w:color w:val="000000"/>
                <w:szCs w:val="21"/>
                <w:u w:val="single"/>
                <w:lang w:val="en-US" w:eastAsia="zh-CN"/>
              </w:rPr>
              <w:t>桌面HIL台架</w:t>
            </w:r>
            <w:r>
              <w:rPr>
                <w:rFonts w:ascii="宋体" w:hAnsi="宋体" w:eastAsia="宋体" w:cs="Times New Roman"/>
                <w:color w:val="000000"/>
                <w:szCs w:val="21"/>
              </w:rPr>
              <w:t xml:space="preserve"> </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6</w:t>
            </w:r>
            <w:r>
              <w:rPr>
                <w:rFonts w:hint="eastAsia" w:ascii="Times New Roman" w:hAnsi="Times New Roman" w:eastAsia="宋体" w:cs="Times New Roman"/>
                <w:b/>
                <w:szCs w:val="20"/>
              </w:rPr>
              <w:t>套</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6"/>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9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8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05"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spacing w:line="360" w:lineRule="exact"/>
              <w:jc w:val="center"/>
              <w:rPr>
                <w:rFonts w:hint="default" w:ascii="宋体" w:hAnsi="宋体" w:eastAsia="宋体" w:cs="宋体"/>
                <w:szCs w:val="21"/>
                <w:lang w:val="en-US" w:eastAsia="zh-CN"/>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9</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rPr>
            </w:pPr>
            <w:r>
              <w:rPr>
                <w:rFonts w:hint="eastAsia" w:ascii="宋体" w:hAnsi="宋体" w:eastAsia="宋体" w:cs="宋体"/>
                <w:position w:val="1"/>
                <w:szCs w:val="21"/>
              </w:rPr>
              <w:t>11</w:t>
            </w:r>
          </w:p>
        </w:tc>
        <w:tc>
          <w:tcPr>
            <w:tcW w:w="2792" w:type="dxa"/>
          </w:tcPr>
          <w:p>
            <w:pPr>
              <w:rPr>
                <w:rFonts w:ascii="宋体" w:hAnsi="宋体" w:eastAsia="宋体" w:cs="宋体"/>
              </w:rPr>
            </w:pPr>
            <w:r>
              <w:rPr>
                <w:rFonts w:hint="eastAsia" w:ascii="宋体" w:hAnsi="宋体" w:eastAsia="宋体" w:cs="宋体"/>
              </w:rPr>
              <w:t>...以上投标设备不足之处请往下添加序号自行补充</w:t>
            </w: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0" w:type="default"/>
          <w:pgSz w:w="16841" w:h="11907"/>
          <w:pgMar w:top="400" w:right="1699" w:bottom="1184" w:left="1481"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8"/>
              <w:spacing w:before="60" w:after="60"/>
              <w:jc w:val="center"/>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8"/>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8"/>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8"/>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hint="eastAsia" w:ascii="Times New Roman" w:hAnsi="Times New Roman" w:eastAsia="宋体" w:cs="Times New Roman"/>
                <w:spacing w:val="-6"/>
                <w:szCs w:val="21"/>
              </w:rPr>
              <w:t>-</w:t>
            </w:r>
            <w:r>
              <w:rPr>
                <w:rFonts w:ascii="Times New Roman" w:hAnsi="Times New Roman" w:eastAsia="Times New Roman" w:cs="Times New Roman"/>
                <w:spacing w:val="-11"/>
                <w:szCs w:val="21"/>
              </w:rPr>
              <w:t xml:space="preserve">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pPr>
              <w:spacing w:before="265" w:line="222" w:lineRule="auto"/>
              <w:ind w:left="2378" w:firstLine="188" w:firstLineChars="100"/>
              <w:rPr>
                <w:rFonts w:ascii="宋体" w:hAnsi="宋体" w:eastAsia="宋体" w:cs="宋体"/>
                <w:spacing w:val="-11"/>
                <w:szCs w:val="21"/>
              </w:rPr>
            </w:pP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3"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ascii="宋体" w:hAnsi="宋体" w:cs="宋体"/>
          <w:szCs w:val="24"/>
        </w:rPr>
      </w:pPr>
    </w:p>
    <w:p>
      <w:pPr>
        <w:rPr>
          <w:rFonts w:ascii="宋体" w:hAnsi="宋体" w:eastAsia="宋体" w:cs="宋体"/>
          <w:sz w:val="24"/>
          <w:szCs w:val="24"/>
        </w:rPr>
      </w:pPr>
    </w:p>
    <w:p>
      <w:pPr>
        <w:rPr>
          <w:rFonts w:ascii="宋体" w:hAnsi="宋体" w:cs="宋体"/>
          <w:szCs w:val="24"/>
        </w:rPr>
      </w:pPr>
    </w:p>
    <w:p/>
    <w:p/>
    <w:p/>
    <w:p/>
    <w:p>
      <w:pPr>
        <w:tabs>
          <w:tab w:val="left" w:pos="1511"/>
        </w:tabs>
        <w:jc w:val="left"/>
        <w:rPr>
          <w:b/>
          <w:bCs/>
        </w:rPr>
        <w:sectPr>
          <w:footerReference r:id="rId34"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outlineLvl w:val="2"/>
        <w:rPr>
          <w:rFonts w:hint="eastAsia"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
      <w:pPr>
        <w:pStyle w:val="20"/>
        <w:rPr>
          <w:rFonts w:hAnsi="Calibri" w:eastAsia="宋体" w:cs="宋体"/>
          <w:b/>
          <w:bCs/>
          <w:color w:val="000000"/>
          <w:sz w:val="28"/>
          <w:szCs w:val="20"/>
        </w:rPr>
      </w:pPr>
    </w:p>
    <w:p>
      <w:pPr>
        <w:pStyle w:val="5"/>
        <w:sectPr>
          <w:pgSz w:w="11906" w:h="16839"/>
          <w:pgMar w:top="1431" w:right="1417" w:bottom="1179" w:left="1304" w:header="850" w:footer="992" w:gutter="0"/>
          <w:cols w:space="720" w:num="1"/>
        </w:sectPr>
      </w:pPr>
    </w:p>
    <w:p/>
    <w:p>
      <w:pPr>
        <w:jc w:val="cente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  技术</w:t>
      </w:r>
      <w:r>
        <w:rPr>
          <w:rFonts w:hint="eastAsia" w:ascii="Times New Roman" w:hAnsi="Times New Roman" w:eastAsia="宋体" w:cs="Times New Roman"/>
          <w:b/>
          <w:bCs/>
          <w:color w:val="000000"/>
          <w:sz w:val="24"/>
          <w:szCs w:val="24"/>
          <w:lang w:val="en-US" w:eastAsia="zh-CN"/>
        </w:rPr>
        <w:t>标评审</w:t>
      </w:r>
      <w:r>
        <w:rPr>
          <w:rFonts w:hint="eastAsia"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0分）</w:t>
      </w:r>
    </w:p>
    <w:tbl>
      <w:tblPr>
        <w:tblStyle w:val="39"/>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评价类型</w:t>
            </w:r>
          </w:p>
        </w:tc>
        <w:tc>
          <w:tcPr>
            <w:tcW w:w="750" w:type="dxa"/>
            <w:vAlign w:val="center"/>
          </w:tcPr>
          <w:p>
            <w:pPr>
              <w:tabs>
                <w:tab w:val="left" w:pos="13965"/>
              </w:tabs>
              <w:spacing w:line="360" w:lineRule="auto"/>
              <w:ind w:right="-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评审内容</w:t>
            </w:r>
          </w:p>
        </w:tc>
        <w:tc>
          <w:tcPr>
            <w:tcW w:w="533"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序号</w:t>
            </w:r>
          </w:p>
        </w:tc>
        <w:tc>
          <w:tcPr>
            <w:tcW w:w="3100"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内</w:t>
            </w:r>
            <w:r>
              <w:rPr>
                <w:rFonts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817"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标准分</w:t>
            </w:r>
          </w:p>
        </w:tc>
        <w:tc>
          <w:tcPr>
            <w:tcW w:w="7781"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w:t>
            </w:r>
          </w:p>
          <w:p>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10</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分</w:t>
            </w:r>
          </w:p>
        </w:tc>
        <w:tc>
          <w:tcPr>
            <w:tcW w:w="750" w:type="dxa"/>
            <w:vAlign w:val="center"/>
          </w:tcPr>
          <w:p>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533" w:type="dxa"/>
            <w:vAlign w:val="center"/>
          </w:tcPr>
          <w:p>
            <w:pPr>
              <w:tabs>
                <w:tab w:val="left" w:pos="13965"/>
              </w:tabs>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817" w:type="dxa"/>
            <w:vAlign w:val="center"/>
          </w:tcPr>
          <w:p>
            <w:pPr>
              <w:tabs>
                <w:tab w:val="left" w:pos="13965"/>
              </w:tabs>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分（时间以签订日期为准）。</w:t>
            </w:r>
          </w:p>
          <w:p>
            <w:pPr>
              <w:spacing w:line="240" w:lineRule="auto"/>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2</w:t>
            </w:r>
          </w:p>
        </w:tc>
        <w:tc>
          <w:tcPr>
            <w:tcW w:w="3100"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Times New Roman"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3</w:t>
            </w:r>
          </w:p>
        </w:tc>
        <w:tc>
          <w:tcPr>
            <w:tcW w:w="3100" w:type="dxa"/>
            <w:vAlign w:val="center"/>
          </w:tcPr>
          <w:p>
            <w:pPr>
              <w:spacing w:line="240" w:lineRule="auto"/>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817" w:type="dxa"/>
            <w:vAlign w:val="center"/>
          </w:tcPr>
          <w:p>
            <w:pPr>
              <w:spacing w:line="240" w:lineRule="auto"/>
              <w:jc w:val="center"/>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25</w:t>
            </w:r>
          </w:p>
        </w:tc>
        <w:tc>
          <w:tcPr>
            <w:tcW w:w="7781" w:type="dxa"/>
            <w:vAlign w:val="center"/>
          </w:tcPr>
          <w:p>
            <w:pPr>
              <w:spacing w:line="24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ascii="宋体" w:hAnsi="宋体" w:eastAsia="宋体" w:cs="Times New Roman"/>
                <w:sz w:val="24"/>
                <w:szCs w:val="24"/>
                <w:highlight w:val="none"/>
              </w:rPr>
              <w:t xml:space="preserve"> </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①</w:t>
            </w:r>
            <w:r>
              <w:rPr>
                <w:rFonts w:hint="eastAsia" w:ascii="宋体" w:hAnsi="宋体" w:eastAsia="宋体" w:cs="Times New Roman"/>
                <w:bCs/>
                <w:sz w:val="24"/>
                <w:szCs w:val="24"/>
                <w:highlight w:val="none"/>
              </w:rPr>
              <w:t>定制系统方案已到达招标要求，设备主要核心部件，具备自身技术优势，打分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16</w:t>
            </w:r>
            <w:r>
              <w:rPr>
                <w:rFonts w:hint="eastAsia" w:ascii="宋体" w:hAnsi="宋体" w:eastAsia="宋体" w:cs="Times New Roman"/>
                <w:bCs/>
                <w:sz w:val="24"/>
                <w:szCs w:val="24"/>
                <w:highlight w:val="none"/>
              </w:rPr>
              <w:t>分。</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②</w:t>
            </w:r>
            <w:r>
              <w:rPr>
                <w:rFonts w:hint="eastAsia" w:ascii="宋体" w:hAnsi="宋体" w:eastAsia="宋体" w:cs="Times New Roman"/>
                <w:bCs/>
                <w:sz w:val="24"/>
                <w:szCs w:val="24"/>
                <w:highlight w:val="none"/>
              </w:rPr>
              <w:t>系统配置齐全，其精度、参数、技术水平、可靠性等优势明显，打分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16</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③</w:t>
            </w:r>
            <w:r>
              <w:rPr>
                <w:rFonts w:hint="eastAsia" w:ascii="宋体" w:hAnsi="宋体" w:eastAsia="宋体" w:cs="Times New Roman"/>
                <w:sz w:val="24"/>
                <w:szCs w:val="24"/>
                <w:highlight w:val="none"/>
              </w:rPr>
              <w:t>操作灵活方便，系统开放程度高，</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10</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0"/>
              </w:numPr>
              <w:spacing w:line="240" w:lineRule="auto"/>
              <w:ind w:leftChars="0"/>
              <w:rPr>
                <w:rFonts w:hint="eastAsia" w:ascii="宋体" w:hAnsi="Times New Roman"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④</w:t>
            </w:r>
            <w:r>
              <w:rPr>
                <w:rFonts w:hint="eastAsia" w:ascii="宋体" w:hAnsi="宋体" w:eastAsia="宋体" w:cs="Times New Roman"/>
                <w:sz w:val="24"/>
                <w:szCs w:val="24"/>
                <w:highlight w:val="none"/>
              </w:rPr>
              <w:t>综合评价，</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533"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3100"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7781"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w:t>
            </w: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5</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817" w:type="dxa"/>
            <w:vAlign w:val="center"/>
          </w:tcPr>
          <w:p>
            <w:pPr>
              <w:spacing w:line="240" w:lineRule="auto"/>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w:t>
            </w:r>
          </w:p>
        </w:tc>
        <w:tc>
          <w:tcPr>
            <w:tcW w:w="7781" w:type="dxa"/>
            <w:vAlign w:val="center"/>
          </w:tcPr>
          <w:p>
            <w:pPr>
              <w:spacing w:line="240" w:lineRule="auto"/>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w:t>
            </w:r>
            <w:r>
              <w:rPr>
                <w:rFonts w:hint="eastAsia" w:ascii="宋体" w:hAnsi="宋体" w:eastAsia="宋体" w:cs="Times New Roman"/>
                <w:bCs/>
                <w:sz w:val="24"/>
                <w:szCs w:val="24"/>
                <w:highlight w:val="none"/>
                <w:lang w:eastAsia="zh-CN"/>
              </w:rPr>
              <w:t>投标人</w:t>
            </w:r>
            <w:r>
              <w:rPr>
                <w:rFonts w:hint="eastAsia" w:ascii="宋体" w:hAnsi="宋体" w:eastAsia="宋体" w:cs="Times New Roman"/>
                <w:bCs/>
                <w:sz w:val="24"/>
                <w:szCs w:val="24"/>
                <w:highlight w:val="none"/>
              </w:rPr>
              <w:t>的核心产品的配置参数、技术偏离情况，在满足我司技术基本要求的前提下偏离，无偏离得满分</w:t>
            </w:r>
            <w:r>
              <w:rPr>
                <w:rFonts w:hint="eastAsia" w:ascii="宋体" w:hAnsi="宋体" w:eastAsia="宋体" w:cs="Times New Roman"/>
                <w:bCs/>
                <w:sz w:val="24"/>
                <w:szCs w:val="24"/>
                <w:highlight w:val="none"/>
                <w:lang w:val="en-US" w:eastAsia="zh-CN"/>
              </w:rPr>
              <w:t>12</w:t>
            </w:r>
            <w:r>
              <w:rPr>
                <w:rFonts w:hint="eastAsia" w:ascii="宋体" w:hAnsi="宋体" w:eastAsia="宋体" w:cs="Times New Roman"/>
                <w:bCs/>
                <w:sz w:val="24"/>
                <w:szCs w:val="24"/>
                <w:highlight w:val="none"/>
              </w:rPr>
              <w:t>分，较大偏离每一项扣</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分，一般偏离每一项扣</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6</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技术培训方案：对采购方人员的技术培训方案安排科学、合理、可行</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7</w:t>
            </w:r>
          </w:p>
        </w:tc>
        <w:tc>
          <w:tcPr>
            <w:tcW w:w="3100" w:type="dxa"/>
            <w:shd w:val="clear" w:color="auto" w:fill="auto"/>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投标人在中国有常驻的专业技术力量的维保机构并具有实施本项目维保的专业技术人员：</w:t>
            </w:r>
          </w:p>
        </w:tc>
        <w:tc>
          <w:tcPr>
            <w:tcW w:w="817" w:type="dxa"/>
            <w:shd w:val="clear" w:color="auto" w:fill="auto"/>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bCs/>
                <w:sz w:val="24"/>
                <w:szCs w:val="24"/>
                <w:highlight w:val="none"/>
                <w:lang w:val="en-US" w:eastAsia="zh-CN"/>
              </w:rPr>
              <w:t>3</w:t>
            </w:r>
          </w:p>
        </w:tc>
        <w:tc>
          <w:tcPr>
            <w:tcW w:w="7781" w:type="dxa"/>
            <w:shd w:val="clear" w:color="auto" w:fill="auto"/>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8</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售后服务及时周到，有相应的服务承诺和具体的保证措施</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bl>
    <w:p>
      <w:pPr>
        <w:pStyle w:val="20"/>
        <w:rPr>
          <w:rFonts w:hAnsi="宋体" w:eastAsia="宋体" w:cs="Times New Roman"/>
          <w:b/>
          <w:color w:val="000000"/>
          <w:sz w:val="24"/>
          <w:szCs w:val="24"/>
        </w:rPr>
      </w:pPr>
    </w:p>
    <w:p>
      <w:pPr>
        <w:rPr>
          <w:rFonts w:ascii="宋体" w:hAnsi="宋体"/>
          <w:szCs w:val="24"/>
        </w:rPr>
      </w:pPr>
    </w:p>
    <w:p>
      <w:pPr>
        <w:rPr>
          <w:rFonts w:ascii="宋体" w:hAnsi="宋体" w:eastAsia="宋体" w:cs="Times New Roman"/>
          <w:b/>
          <w:bCs/>
          <w:sz w:val="24"/>
          <w:szCs w:val="24"/>
        </w:rPr>
      </w:pPr>
    </w:p>
    <w:p>
      <w:pPr>
        <w:pStyle w:val="5"/>
        <w:sectPr>
          <w:headerReference r:id="rId36" w:type="first"/>
          <w:footerReference r:id="rId38" w:type="first"/>
          <w:headerReference r:id="rId35" w:type="default"/>
          <w:footerReference r:id="rId37" w:type="default"/>
          <w:pgSz w:w="16838" w:h="11906" w:orient="landscape"/>
          <w:pgMar w:top="1418" w:right="1588" w:bottom="1418" w:left="1134" w:header="851" w:footer="992" w:gutter="0"/>
          <w:cols w:space="720" w:num="1"/>
          <w:titlePg/>
          <w:docGrid w:type="lines" w:linePitch="312" w:charSpace="0"/>
        </w:sectPr>
      </w:pPr>
    </w:p>
    <w:p>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pPr>
        <w:pStyle w:val="20"/>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http://ecaitong.sinotruk.com:8012/</w:t>
      </w:r>
      <w:r>
        <w:rPr>
          <w:rStyle w:val="47"/>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pPr>
        <w:pStyle w:val="20"/>
        <w:rPr>
          <w:rFonts w:hAnsi="宋体" w:eastAsia="宋体" w:cs="Times New Roman"/>
          <w:b/>
          <w:color w:val="000000"/>
          <w:sz w:val="24"/>
          <w:szCs w:val="24"/>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MiSans Demibold">
    <w:altName w:val="宋体"/>
    <w:panose1 w:val="00000000000000000000"/>
    <w:charset w:val="86"/>
    <w:family w:val="auto"/>
    <w:pitch w:val="default"/>
    <w:sig w:usb0="00000000" w:usb1="00000000"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黑体"/>
    <w:panose1 w:val="02000000000000000000"/>
    <w:charset w:val="86"/>
    <w:family w:val="script"/>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62A16E3"/>
    <w:multiLevelType w:val="multilevel"/>
    <w:tmpl w:val="062A16E3"/>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8001359"/>
    <w:multiLevelType w:val="multilevel"/>
    <w:tmpl w:val="08001359"/>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9274864"/>
    <w:multiLevelType w:val="multilevel"/>
    <w:tmpl w:val="09274864"/>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BDD5532"/>
    <w:multiLevelType w:val="multilevel"/>
    <w:tmpl w:val="0BDD553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E795969"/>
    <w:multiLevelType w:val="multilevel"/>
    <w:tmpl w:val="0E795969"/>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65A389B"/>
    <w:multiLevelType w:val="multilevel"/>
    <w:tmpl w:val="165A389B"/>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6F56D45"/>
    <w:multiLevelType w:val="multilevel"/>
    <w:tmpl w:val="16F56D45"/>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8176923"/>
    <w:multiLevelType w:val="multilevel"/>
    <w:tmpl w:val="18176923"/>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98F25D8"/>
    <w:multiLevelType w:val="multilevel"/>
    <w:tmpl w:val="198F25D8"/>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5">
    <w:nsid w:val="24F33877"/>
    <w:multiLevelType w:val="multilevel"/>
    <w:tmpl w:val="24F33877"/>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17">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9">
    <w:nsid w:val="316B25C8"/>
    <w:multiLevelType w:val="multilevel"/>
    <w:tmpl w:val="316B25C8"/>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38136D92"/>
    <w:multiLevelType w:val="multilevel"/>
    <w:tmpl w:val="38136D92"/>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C0A0F21"/>
    <w:multiLevelType w:val="multilevel"/>
    <w:tmpl w:val="3C0A0F21"/>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E766EBB"/>
    <w:multiLevelType w:val="multilevel"/>
    <w:tmpl w:val="3E766EBB"/>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40FB31F1"/>
    <w:multiLevelType w:val="multilevel"/>
    <w:tmpl w:val="40FB31F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6">
    <w:nsid w:val="49725DCB"/>
    <w:multiLevelType w:val="multilevel"/>
    <w:tmpl w:val="49725DC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4C144F71"/>
    <w:multiLevelType w:val="multilevel"/>
    <w:tmpl w:val="4C144F71"/>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508E1376"/>
    <w:multiLevelType w:val="multilevel"/>
    <w:tmpl w:val="508E137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4CA215B"/>
    <w:multiLevelType w:val="multilevel"/>
    <w:tmpl w:val="54CA215B"/>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78C4D10"/>
    <w:multiLevelType w:val="multilevel"/>
    <w:tmpl w:val="578C4D10"/>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C206EAE"/>
    <w:multiLevelType w:val="multilevel"/>
    <w:tmpl w:val="5C206EAE"/>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2483373"/>
    <w:multiLevelType w:val="multilevel"/>
    <w:tmpl w:val="62483373"/>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6634B8"/>
    <w:multiLevelType w:val="multilevel"/>
    <w:tmpl w:val="696634B8"/>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6E8C6948"/>
    <w:multiLevelType w:val="singleLevel"/>
    <w:tmpl w:val="6E8C6948"/>
    <w:lvl w:ilvl="0" w:tentative="0">
      <w:start w:val="1"/>
      <w:numFmt w:val="chineseCounting"/>
      <w:suff w:val="space"/>
      <w:lvlText w:val="第%1部分"/>
      <w:lvlJc w:val="left"/>
      <w:rPr>
        <w:rFonts w:hint="eastAsia"/>
      </w:rPr>
    </w:lvl>
  </w:abstractNum>
  <w:abstractNum w:abstractNumId="36">
    <w:nsid w:val="771945E6"/>
    <w:multiLevelType w:val="multilevel"/>
    <w:tmpl w:val="771945E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7850A900"/>
    <w:multiLevelType w:val="singleLevel"/>
    <w:tmpl w:val="7850A900"/>
    <w:lvl w:ilvl="0" w:tentative="0">
      <w:start w:val="2"/>
      <w:numFmt w:val="decimal"/>
      <w:suff w:val="nothing"/>
      <w:lvlText w:val="%1）"/>
      <w:lvlJc w:val="left"/>
    </w:lvl>
  </w:abstractNum>
  <w:abstractNum w:abstractNumId="38">
    <w:nsid w:val="7BDB546E"/>
    <w:multiLevelType w:val="multilevel"/>
    <w:tmpl w:val="7BDB546E"/>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3"/>
  </w:num>
  <w:num w:numId="2">
    <w:abstractNumId w:val="16"/>
  </w:num>
  <w:num w:numId="3">
    <w:abstractNumId w:val="23"/>
  </w:num>
  <w:num w:numId="4">
    <w:abstractNumId w:val="17"/>
  </w:num>
  <w:num w:numId="5">
    <w:abstractNumId w:val="3"/>
  </w:num>
  <w:num w:numId="6">
    <w:abstractNumId w:val="35"/>
  </w:num>
  <w:num w:numId="7">
    <w:abstractNumId w:val="0"/>
  </w:num>
  <w:num w:numId="8">
    <w:abstractNumId w:val="1"/>
  </w:num>
  <w:num w:numId="9">
    <w:abstractNumId w:val="14"/>
  </w:num>
  <w:num w:numId="10">
    <w:abstractNumId w:val="4"/>
  </w:num>
  <w:num w:numId="11">
    <w:abstractNumId w:val="25"/>
  </w:num>
  <w:num w:numId="12">
    <w:abstractNumId w:val="2"/>
  </w:num>
  <w:num w:numId="13">
    <w:abstractNumId w:val="18"/>
  </w:num>
  <w:num w:numId="14">
    <w:abstractNumId w:val="37"/>
  </w:num>
  <w:num w:numId="15">
    <w:abstractNumId w:val="30"/>
  </w:num>
  <w:num w:numId="16">
    <w:abstractNumId w:val="19"/>
  </w:num>
  <w:num w:numId="17">
    <w:abstractNumId w:val="13"/>
  </w:num>
  <w:num w:numId="18">
    <w:abstractNumId w:val="6"/>
  </w:num>
  <w:num w:numId="19">
    <w:abstractNumId w:val="10"/>
  </w:num>
  <w:num w:numId="20">
    <w:abstractNumId w:val="24"/>
  </w:num>
  <w:num w:numId="21">
    <w:abstractNumId w:val="20"/>
  </w:num>
  <w:num w:numId="22">
    <w:abstractNumId w:val="34"/>
  </w:num>
  <w:num w:numId="23">
    <w:abstractNumId w:val="7"/>
  </w:num>
  <w:num w:numId="24">
    <w:abstractNumId w:val="11"/>
  </w:num>
  <w:num w:numId="25">
    <w:abstractNumId w:val="9"/>
  </w:num>
  <w:num w:numId="26">
    <w:abstractNumId w:val="5"/>
  </w:num>
  <w:num w:numId="27">
    <w:abstractNumId w:val="28"/>
  </w:num>
  <w:num w:numId="28">
    <w:abstractNumId w:val="31"/>
  </w:num>
  <w:num w:numId="29">
    <w:abstractNumId w:val="12"/>
  </w:num>
  <w:num w:numId="30">
    <w:abstractNumId w:val="15"/>
  </w:num>
  <w:num w:numId="31">
    <w:abstractNumId w:val="36"/>
  </w:num>
  <w:num w:numId="32">
    <w:abstractNumId w:val="27"/>
  </w:num>
  <w:num w:numId="33">
    <w:abstractNumId w:val="29"/>
  </w:num>
  <w:num w:numId="34">
    <w:abstractNumId w:val="26"/>
  </w:num>
  <w:num w:numId="35">
    <w:abstractNumId w:val="8"/>
  </w:num>
  <w:num w:numId="36">
    <w:abstractNumId w:val="38"/>
  </w:num>
  <w:num w:numId="37">
    <w:abstractNumId w:val="22"/>
  </w:num>
  <w:num w:numId="38">
    <w:abstractNumId w:val="2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40346"/>
    <w:rsid w:val="006467EE"/>
    <w:rsid w:val="0065185D"/>
    <w:rsid w:val="0065397F"/>
    <w:rsid w:val="006648AC"/>
    <w:rsid w:val="00680629"/>
    <w:rsid w:val="00680ADF"/>
    <w:rsid w:val="00686C52"/>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B3D00"/>
    <w:rsid w:val="00EC5674"/>
    <w:rsid w:val="00F156D2"/>
    <w:rsid w:val="00F253C4"/>
    <w:rsid w:val="00F259A0"/>
    <w:rsid w:val="00F27D93"/>
    <w:rsid w:val="00F3236D"/>
    <w:rsid w:val="00F34BD7"/>
    <w:rsid w:val="00F60849"/>
    <w:rsid w:val="00F67864"/>
    <w:rsid w:val="00F70B67"/>
    <w:rsid w:val="00F71720"/>
    <w:rsid w:val="00F77334"/>
    <w:rsid w:val="00F8052E"/>
    <w:rsid w:val="00FD2032"/>
    <w:rsid w:val="00FE040F"/>
    <w:rsid w:val="00FE42B3"/>
    <w:rsid w:val="0133784E"/>
    <w:rsid w:val="014832F2"/>
    <w:rsid w:val="014D51C1"/>
    <w:rsid w:val="01707B35"/>
    <w:rsid w:val="01714809"/>
    <w:rsid w:val="01C52478"/>
    <w:rsid w:val="02184C85"/>
    <w:rsid w:val="027408EE"/>
    <w:rsid w:val="02963F39"/>
    <w:rsid w:val="029C4C37"/>
    <w:rsid w:val="02BA7274"/>
    <w:rsid w:val="02BF5DB0"/>
    <w:rsid w:val="03251978"/>
    <w:rsid w:val="0325718A"/>
    <w:rsid w:val="033D69C3"/>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083FD7"/>
    <w:rsid w:val="071F0C1A"/>
    <w:rsid w:val="07571DAC"/>
    <w:rsid w:val="07876FF4"/>
    <w:rsid w:val="078A0D17"/>
    <w:rsid w:val="07D23704"/>
    <w:rsid w:val="08000695"/>
    <w:rsid w:val="08332819"/>
    <w:rsid w:val="089514C7"/>
    <w:rsid w:val="08DF2E30"/>
    <w:rsid w:val="08E64121"/>
    <w:rsid w:val="090D5816"/>
    <w:rsid w:val="09380E4E"/>
    <w:rsid w:val="0942017F"/>
    <w:rsid w:val="094D5FE4"/>
    <w:rsid w:val="09774637"/>
    <w:rsid w:val="09BA1FBB"/>
    <w:rsid w:val="09CB139F"/>
    <w:rsid w:val="09D73678"/>
    <w:rsid w:val="0A0106F5"/>
    <w:rsid w:val="0A112AB7"/>
    <w:rsid w:val="0A447F32"/>
    <w:rsid w:val="0A7F7554"/>
    <w:rsid w:val="0A9770CC"/>
    <w:rsid w:val="0ACB1DA6"/>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480AE8"/>
    <w:rsid w:val="115F67A8"/>
    <w:rsid w:val="118B5473"/>
    <w:rsid w:val="119A7465"/>
    <w:rsid w:val="11C07DA5"/>
    <w:rsid w:val="12491386"/>
    <w:rsid w:val="12746E74"/>
    <w:rsid w:val="12E60579"/>
    <w:rsid w:val="130D3C66"/>
    <w:rsid w:val="13695B36"/>
    <w:rsid w:val="1372609F"/>
    <w:rsid w:val="14092DB2"/>
    <w:rsid w:val="140E390C"/>
    <w:rsid w:val="142D2826"/>
    <w:rsid w:val="145A6A37"/>
    <w:rsid w:val="1467440F"/>
    <w:rsid w:val="14F73019"/>
    <w:rsid w:val="15433A9B"/>
    <w:rsid w:val="15D13671"/>
    <w:rsid w:val="15FC2F04"/>
    <w:rsid w:val="15FD3709"/>
    <w:rsid w:val="16181FAC"/>
    <w:rsid w:val="166050EB"/>
    <w:rsid w:val="167D1808"/>
    <w:rsid w:val="168756A0"/>
    <w:rsid w:val="16DF23DD"/>
    <w:rsid w:val="16E7142F"/>
    <w:rsid w:val="16F94849"/>
    <w:rsid w:val="17045E51"/>
    <w:rsid w:val="172011D4"/>
    <w:rsid w:val="17252C3B"/>
    <w:rsid w:val="173F0A2E"/>
    <w:rsid w:val="17770BC2"/>
    <w:rsid w:val="17793FC0"/>
    <w:rsid w:val="17860E2F"/>
    <w:rsid w:val="17A119AA"/>
    <w:rsid w:val="17AF1095"/>
    <w:rsid w:val="17C55E7C"/>
    <w:rsid w:val="18586F2B"/>
    <w:rsid w:val="19053D5D"/>
    <w:rsid w:val="192F3CC4"/>
    <w:rsid w:val="1935690C"/>
    <w:rsid w:val="19A766B9"/>
    <w:rsid w:val="19BE4F9F"/>
    <w:rsid w:val="19CE76BA"/>
    <w:rsid w:val="19F26070"/>
    <w:rsid w:val="19F97C8B"/>
    <w:rsid w:val="1A1523CE"/>
    <w:rsid w:val="1A21343D"/>
    <w:rsid w:val="1A555D89"/>
    <w:rsid w:val="1A722F70"/>
    <w:rsid w:val="1AA730BD"/>
    <w:rsid w:val="1ABD4410"/>
    <w:rsid w:val="1B333D5D"/>
    <w:rsid w:val="1B587618"/>
    <w:rsid w:val="1B5F19C7"/>
    <w:rsid w:val="1BB82B8C"/>
    <w:rsid w:val="1BE85FD5"/>
    <w:rsid w:val="1C071E75"/>
    <w:rsid w:val="1C1C709B"/>
    <w:rsid w:val="1C6F5D50"/>
    <w:rsid w:val="1C9F6814"/>
    <w:rsid w:val="1D5C514E"/>
    <w:rsid w:val="1D834723"/>
    <w:rsid w:val="1D85395E"/>
    <w:rsid w:val="1D865D14"/>
    <w:rsid w:val="1D8705EC"/>
    <w:rsid w:val="1E43150B"/>
    <w:rsid w:val="1E635E0D"/>
    <w:rsid w:val="1EA93E80"/>
    <w:rsid w:val="1EC024D4"/>
    <w:rsid w:val="1ED33FB6"/>
    <w:rsid w:val="1EE81332"/>
    <w:rsid w:val="1EED2D98"/>
    <w:rsid w:val="1F32415A"/>
    <w:rsid w:val="1F3B094B"/>
    <w:rsid w:val="1F5A4199"/>
    <w:rsid w:val="1F7E2174"/>
    <w:rsid w:val="1FC32513"/>
    <w:rsid w:val="20107567"/>
    <w:rsid w:val="208717DB"/>
    <w:rsid w:val="20AB56C6"/>
    <w:rsid w:val="20E17EDB"/>
    <w:rsid w:val="21253EF1"/>
    <w:rsid w:val="2176507C"/>
    <w:rsid w:val="21BA10C4"/>
    <w:rsid w:val="21BE35AF"/>
    <w:rsid w:val="21C11174"/>
    <w:rsid w:val="22244B28"/>
    <w:rsid w:val="22467FD4"/>
    <w:rsid w:val="22536620"/>
    <w:rsid w:val="22784511"/>
    <w:rsid w:val="229451FD"/>
    <w:rsid w:val="22A12DB6"/>
    <w:rsid w:val="230B2F77"/>
    <w:rsid w:val="234E7F91"/>
    <w:rsid w:val="23533917"/>
    <w:rsid w:val="236356D1"/>
    <w:rsid w:val="23A91C83"/>
    <w:rsid w:val="23C962E8"/>
    <w:rsid w:val="23ED0417"/>
    <w:rsid w:val="246439BC"/>
    <w:rsid w:val="247E4FED"/>
    <w:rsid w:val="24B30BE8"/>
    <w:rsid w:val="24C6643F"/>
    <w:rsid w:val="24E34060"/>
    <w:rsid w:val="24EF2718"/>
    <w:rsid w:val="253A0491"/>
    <w:rsid w:val="253D4C0F"/>
    <w:rsid w:val="25CC0AA5"/>
    <w:rsid w:val="25E036B2"/>
    <w:rsid w:val="25E9082A"/>
    <w:rsid w:val="25F42473"/>
    <w:rsid w:val="26371997"/>
    <w:rsid w:val="26894267"/>
    <w:rsid w:val="26AF2D79"/>
    <w:rsid w:val="26B34B91"/>
    <w:rsid w:val="270D66E8"/>
    <w:rsid w:val="27151D45"/>
    <w:rsid w:val="271D6ECC"/>
    <w:rsid w:val="27514612"/>
    <w:rsid w:val="27597388"/>
    <w:rsid w:val="278B0DAB"/>
    <w:rsid w:val="279C6B0E"/>
    <w:rsid w:val="279E140F"/>
    <w:rsid w:val="27A241B6"/>
    <w:rsid w:val="27A64735"/>
    <w:rsid w:val="27CC4DF2"/>
    <w:rsid w:val="281864F2"/>
    <w:rsid w:val="28316337"/>
    <w:rsid w:val="286903EF"/>
    <w:rsid w:val="287F5DD3"/>
    <w:rsid w:val="288047CB"/>
    <w:rsid w:val="288A7505"/>
    <w:rsid w:val="289E62FA"/>
    <w:rsid w:val="291E2CA6"/>
    <w:rsid w:val="29331862"/>
    <w:rsid w:val="299E147F"/>
    <w:rsid w:val="29C32A87"/>
    <w:rsid w:val="29CF26DC"/>
    <w:rsid w:val="2A1C5DA0"/>
    <w:rsid w:val="2A200D39"/>
    <w:rsid w:val="2A507EFF"/>
    <w:rsid w:val="2A6579DF"/>
    <w:rsid w:val="2A7C0FC7"/>
    <w:rsid w:val="2ACF200F"/>
    <w:rsid w:val="2ADC05A4"/>
    <w:rsid w:val="2B0423C1"/>
    <w:rsid w:val="2B4544FA"/>
    <w:rsid w:val="2B54318E"/>
    <w:rsid w:val="2B6F0D7F"/>
    <w:rsid w:val="2B797443"/>
    <w:rsid w:val="2B8716BD"/>
    <w:rsid w:val="2B8B76FF"/>
    <w:rsid w:val="2BA04BD8"/>
    <w:rsid w:val="2BC22DD1"/>
    <w:rsid w:val="2BD5034F"/>
    <w:rsid w:val="2BE77C84"/>
    <w:rsid w:val="2C0B6845"/>
    <w:rsid w:val="2C362F31"/>
    <w:rsid w:val="2C60275E"/>
    <w:rsid w:val="2C74067E"/>
    <w:rsid w:val="2C9E432B"/>
    <w:rsid w:val="2D025012"/>
    <w:rsid w:val="2D4178F0"/>
    <w:rsid w:val="2DA535EC"/>
    <w:rsid w:val="2DA92C79"/>
    <w:rsid w:val="2DAE631A"/>
    <w:rsid w:val="2DCF7E57"/>
    <w:rsid w:val="2DD877E0"/>
    <w:rsid w:val="2DE616C9"/>
    <w:rsid w:val="2DFC2451"/>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0C12E8B"/>
    <w:rsid w:val="311933AA"/>
    <w:rsid w:val="313047C4"/>
    <w:rsid w:val="317D15BB"/>
    <w:rsid w:val="31A67308"/>
    <w:rsid w:val="31D07E6C"/>
    <w:rsid w:val="32185CA8"/>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01664"/>
    <w:rsid w:val="343839A4"/>
    <w:rsid w:val="345E036E"/>
    <w:rsid w:val="34DE1E4F"/>
    <w:rsid w:val="34F07DB1"/>
    <w:rsid w:val="35515F3D"/>
    <w:rsid w:val="358D07D1"/>
    <w:rsid w:val="359F7456"/>
    <w:rsid w:val="35B0692A"/>
    <w:rsid w:val="35D354B8"/>
    <w:rsid w:val="35D4025C"/>
    <w:rsid w:val="35F516ED"/>
    <w:rsid w:val="35FC2392"/>
    <w:rsid w:val="362666BC"/>
    <w:rsid w:val="362B2205"/>
    <w:rsid w:val="362D71B8"/>
    <w:rsid w:val="368A6B11"/>
    <w:rsid w:val="36A77DAA"/>
    <w:rsid w:val="37085B1F"/>
    <w:rsid w:val="370A19E9"/>
    <w:rsid w:val="372E04CB"/>
    <w:rsid w:val="37742729"/>
    <w:rsid w:val="37C85FF9"/>
    <w:rsid w:val="37DB5D8E"/>
    <w:rsid w:val="387260AA"/>
    <w:rsid w:val="388614C8"/>
    <w:rsid w:val="389F67CD"/>
    <w:rsid w:val="38D55634"/>
    <w:rsid w:val="38E070F2"/>
    <w:rsid w:val="390B0AC4"/>
    <w:rsid w:val="390D04A7"/>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60089E"/>
    <w:rsid w:val="3C91192E"/>
    <w:rsid w:val="3CAA596A"/>
    <w:rsid w:val="3CB1587B"/>
    <w:rsid w:val="3CB735F2"/>
    <w:rsid w:val="3D186684"/>
    <w:rsid w:val="3D363C36"/>
    <w:rsid w:val="3D4C7C96"/>
    <w:rsid w:val="3D8B2178"/>
    <w:rsid w:val="3DB34909"/>
    <w:rsid w:val="3DD115F5"/>
    <w:rsid w:val="3DE435F0"/>
    <w:rsid w:val="3DE5122C"/>
    <w:rsid w:val="3DF37E53"/>
    <w:rsid w:val="3E1F280B"/>
    <w:rsid w:val="3E2609B2"/>
    <w:rsid w:val="3ED26DE9"/>
    <w:rsid w:val="3EED17D0"/>
    <w:rsid w:val="3F0C0304"/>
    <w:rsid w:val="3FE25AA0"/>
    <w:rsid w:val="3FEC147E"/>
    <w:rsid w:val="40086734"/>
    <w:rsid w:val="4024153A"/>
    <w:rsid w:val="403703F1"/>
    <w:rsid w:val="40376375"/>
    <w:rsid w:val="40EF47EC"/>
    <w:rsid w:val="40F441C9"/>
    <w:rsid w:val="412732B7"/>
    <w:rsid w:val="4127791F"/>
    <w:rsid w:val="41281794"/>
    <w:rsid w:val="412A6279"/>
    <w:rsid w:val="413C1FDF"/>
    <w:rsid w:val="41806A69"/>
    <w:rsid w:val="41B0259C"/>
    <w:rsid w:val="41B27457"/>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B0F21"/>
    <w:rsid w:val="46167166"/>
    <w:rsid w:val="461A2194"/>
    <w:rsid w:val="465E515F"/>
    <w:rsid w:val="471B324C"/>
    <w:rsid w:val="47200EE3"/>
    <w:rsid w:val="47435AC2"/>
    <w:rsid w:val="47544B78"/>
    <w:rsid w:val="47587AF7"/>
    <w:rsid w:val="47745A86"/>
    <w:rsid w:val="477D7ED7"/>
    <w:rsid w:val="478255BB"/>
    <w:rsid w:val="47E239AC"/>
    <w:rsid w:val="480C3F11"/>
    <w:rsid w:val="480F4B73"/>
    <w:rsid w:val="482F5B69"/>
    <w:rsid w:val="48334AEC"/>
    <w:rsid w:val="4845006E"/>
    <w:rsid w:val="48534A6D"/>
    <w:rsid w:val="48A47EB8"/>
    <w:rsid w:val="48DB38E3"/>
    <w:rsid w:val="49001B5E"/>
    <w:rsid w:val="490552B7"/>
    <w:rsid w:val="49376DB0"/>
    <w:rsid w:val="49804BB7"/>
    <w:rsid w:val="49826DCB"/>
    <w:rsid w:val="499013E7"/>
    <w:rsid w:val="49C8088A"/>
    <w:rsid w:val="49CB3D06"/>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B237AC"/>
    <w:rsid w:val="4EF11A75"/>
    <w:rsid w:val="4F08773C"/>
    <w:rsid w:val="4F1123F9"/>
    <w:rsid w:val="4F31409F"/>
    <w:rsid w:val="4F5E670E"/>
    <w:rsid w:val="4F607E3B"/>
    <w:rsid w:val="4F770647"/>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CC31EB"/>
    <w:rsid w:val="51DD796B"/>
    <w:rsid w:val="51DF373B"/>
    <w:rsid w:val="528043E7"/>
    <w:rsid w:val="52AD0F6F"/>
    <w:rsid w:val="52DA4591"/>
    <w:rsid w:val="52EF4CB5"/>
    <w:rsid w:val="52F959F0"/>
    <w:rsid w:val="5302488E"/>
    <w:rsid w:val="5307426A"/>
    <w:rsid w:val="53136173"/>
    <w:rsid w:val="53951560"/>
    <w:rsid w:val="539A4AC7"/>
    <w:rsid w:val="53A454FB"/>
    <w:rsid w:val="53D004E8"/>
    <w:rsid w:val="53D262F7"/>
    <w:rsid w:val="54252C7A"/>
    <w:rsid w:val="542631B6"/>
    <w:rsid w:val="545F0C78"/>
    <w:rsid w:val="54601C62"/>
    <w:rsid w:val="54647343"/>
    <w:rsid w:val="54813CFC"/>
    <w:rsid w:val="54A61722"/>
    <w:rsid w:val="54B31FAF"/>
    <w:rsid w:val="54E26C0B"/>
    <w:rsid w:val="54FB4092"/>
    <w:rsid w:val="55326D63"/>
    <w:rsid w:val="555D1A10"/>
    <w:rsid w:val="55BE344D"/>
    <w:rsid w:val="55CE2B4A"/>
    <w:rsid w:val="56AC4A78"/>
    <w:rsid w:val="56B1063E"/>
    <w:rsid w:val="56B63E52"/>
    <w:rsid w:val="56DB16B9"/>
    <w:rsid w:val="574436DA"/>
    <w:rsid w:val="57772F69"/>
    <w:rsid w:val="577A3463"/>
    <w:rsid w:val="57851FA6"/>
    <w:rsid w:val="57F967AD"/>
    <w:rsid w:val="58052975"/>
    <w:rsid w:val="58340E9D"/>
    <w:rsid w:val="587266D8"/>
    <w:rsid w:val="58E525CA"/>
    <w:rsid w:val="58FD43FD"/>
    <w:rsid w:val="59080439"/>
    <w:rsid w:val="593D045A"/>
    <w:rsid w:val="593D6AE4"/>
    <w:rsid w:val="5960739E"/>
    <w:rsid w:val="59896D0A"/>
    <w:rsid w:val="59B72684"/>
    <w:rsid w:val="59CC6E29"/>
    <w:rsid w:val="59CE7D0B"/>
    <w:rsid w:val="5A082249"/>
    <w:rsid w:val="5A561066"/>
    <w:rsid w:val="5A84304F"/>
    <w:rsid w:val="5A9579AE"/>
    <w:rsid w:val="5AA63999"/>
    <w:rsid w:val="5AC468CD"/>
    <w:rsid w:val="5AD813C2"/>
    <w:rsid w:val="5B1634F8"/>
    <w:rsid w:val="5B342B9A"/>
    <w:rsid w:val="5B5953B0"/>
    <w:rsid w:val="5B5B1AB4"/>
    <w:rsid w:val="5B630802"/>
    <w:rsid w:val="5B807F68"/>
    <w:rsid w:val="5B9F5D96"/>
    <w:rsid w:val="5BC94C7C"/>
    <w:rsid w:val="5BFB631F"/>
    <w:rsid w:val="5C034D53"/>
    <w:rsid w:val="5C495A77"/>
    <w:rsid w:val="5C5139A3"/>
    <w:rsid w:val="5C87659C"/>
    <w:rsid w:val="5C903B7A"/>
    <w:rsid w:val="5D166FEC"/>
    <w:rsid w:val="5D2109C8"/>
    <w:rsid w:val="5D32715B"/>
    <w:rsid w:val="5D6B351A"/>
    <w:rsid w:val="5DF94293"/>
    <w:rsid w:val="5E1D6F56"/>
    <w:rsid w:val="5E52187F"/>
    <w:rsid w:val="5E6A13CD"/>
    <w:rsid w:val="5E705D15"/>
    <w:rsid w:val="5E92274E"/>
    <w:rsid w:val="5E93326C"/>
    <w:rsid w:val="5E9F1A7A"/>
    <w:rsid w:val="5EAA6F51"/>
    <w:rsid w:val="5EFB4BA4"/>
    <w:rsid w:val="5F125F0A"/>
    <w:rsid w:val="5F541AED"/>
    <w:rsid w:val="5F5F46B5"/>
    <w:rsid w:val="5F895CFD"/>
    <w:rsid w:val="5FA476D1"/>
    <w:rsid w:val="5FB25360"/>
    <w:rsid w:val="5FBA3CC0"/>
    <w:rsid w:val="5FC45EE2"/>
    <w:rsid w:val="5FD90D61"/>
    <w:rsid w:val="60177697"/>
    <w:rsid w:val="602329DB"/>
    <w:rsid w:val="602C13CC"/>
    <w:rsid w:val="605A3CA3"/>
    <w:rsid w:val="607777D6"/>
    <w:rsid w:val="60867FEA"/>
    <w:rsid w:val="60911000"/>
    <w:rsid w:val="60BC76A1"/>
    <w:rsid w:val="60F60B1B"/>
    <w:rsid w:val="610B7637"/>
    <w:rsid w:val="615F5624"/>
    <w:rsid w:val="61847970"/>
    <w:rsid w:val="619C18BE"/>
    <w:rsid w:val="61AD71CC"/>
    <w:rsid w:val="61BE4076"/>
    <w:rsid w:val="61D215CF"/>
    <w:rsid w:val="622C5484"/>
    <w:rsid w:val="625C563D"/>
    <w:rsid w:val="626A1704"/>
    <w:rsid w:val="62AD7E76"/>
    <w:rsid w:val="62B362C8"/>
    <w:rsid w:val="62C1330E"/>
    <w:rsid w:val="630C5A29"/>
    <w:rsid w:val="6342085E"/>
    <w:rsid w:val="636F415C"/>
    <w:rsid w:val="645B5526"/>
    <w:rsid w:val="64785A9C"/>
    <w:rsid w:val="64917820"/>
    <w:rsid w:val="64AA1CC5"/>
    <w:rsid w:val="64DF779B"/>
    <w:rsid w:val="650E79BA"/>
    <w:rsid w:val="651D5BE5"/>
    <w:rsid w:val="655F1E1A"/>
    <w:rsid w:val="656B2909"/>
    <w:rsid w:val="657D5B4F"/>
    <w:rsid w:val="65914A0B"/>
    <w:rsid w:val="65A3045D"/>
    <w:rsid w:val="65B7595C"/>
    <w:rsid w:val="65CE19A5"/>
    <w:rsid w:val="65D97752"/>
    <w:rsid w:val="65E25E59"/>
    <w:rsid w:val="661047DD"/>
    <w:rsid w:val="66240220"/>
    <w:rsid w:val="66307F76"/>
    <w:rsid w:val="66580EAF"/>
    <w:rsid w:val="66694D0D"/>
    <w:rsid w:val="667B4472"/>
    <w:rsid w:val="66A562F6"/>
    <w:rsid w:val="66F041A8"/>
    <w:rsid w:val="67056EA1"/>
    <w:rsid w:val="671109C3"/>
    <w:rsid w:val="6721178A"/>
    <w:rsid w:val="6739399A"/>
    <w:rsid w:val="673F39DE"/>
    <w:rsid w:val="674C5D22"/>
    <w:rsid w:val="67663AF8"/>
    <w:rsid w:val="67762CFD"/>
    <w:rsid w:val="6777598C"/>
    <w:rsid w:val="677A678D"/>
    <w:rsid w:val="677F20F7"/>
    <w:rsid w:val="67811082"/>
    <w:rsid w:val="67903352"/>
    <w:rsid w:val="67936CBD"/>
    <w:rsid w:val="68011379"/>
    <w:rsid w:val="68252C37"/>
    <w:rsid w:val="68567453"/>
    <w:rsid w:val="68817BAC"/>
    <w:rsid w:val="689A5E59"/>
    <w:rsid w:val="68D22020"/>
    <w:rsid w:val="68E91861"/>
    <w:rsid w:val="68EE72DF"/>
    <w:rsid w:val="690F0B4D"/>
    <w:rsid w:val="691F1C81"/>
    <w:rsid w:val="692E2EB0"/>
    <w:rsid w:val="69320B23"/>
    <w:rsid w:val="69485FEA"/>
    <w:rsid w:val="694C7BCA"/>
    <w:rsid w:val="69677DC0"/>
    <w:rsid w:val="69684298"/>
    <w:rsid w:val="69937EC7"/>
    <w:rsid w:val="69D64558"/>
    <w:rsid w:val="69E24E99"/>
    <w:rsid w:val="6A042548"/>
    <w:rsid w:val="6A1A53E9"/>
    <w:rsid w:val="6A471EFD"/>
    <w:rsid w:val="6A7F64C7"/>
    <w:rsid w:val="6A90616B"/>
    <w:rsid w:val="6AA4553C"/>
    <w:rsid w:val="6AAA129B"/>
    <w:rsid w:val="6AB51A05"/>
    <w:rsid w:val="6AB57116"/>
    <w:rsid w:val="6AE73176"/>
    <w:rsid w:val="6B17424A"/>
    <w:rsid w:val="6B2218FA"/>
    <w:rsid w:val="6B691672"/>
    <w:rsid w:val="6BC8641A"/>
    <w:rsid w:val="6BD0347D"/>
    <w:rsid w:val="6BE97F42"/>
    <w:rsid w:val="6C296590"/>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065AB6"/>
    <w:rsid w:val="6F255B5D"/>
    <w:rsid w:val="6F7F7CB0"/>
    <w:rsid w:val="6FBA3011"/>
    <w:rsid w:val="6FC62428"/>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87F6C"/>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3A83834"/>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0891"/>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7239D"/>
    <w:rsid w:val="7AAD79E7"/>
    <w:rsid w:val="7AB879FE"/>
    <w:rsid w:val="7B005560"/>
    <w:rsid w:val="7B3264DD"/>
    <w:rsid w:val="7B7374F2"/>
    <w:rsid w:val="7B81188A"/>
    <w:rsid w:val="7B9E2902"/>
    <w:rsid w:val="7BA434D7"/>
    <w:rsid w:val="7BB128EA"/>
    <w:rsid w:val="7BB46DC3"/>
    <w:rsid w:val="7BC06119"/>
    <w:rsid w:val="7BC854E2"/>
    <w:rsid w:val="7BEC1468"/>
    <w:rsid w:val="7C0562EC"/>
    <w:rsid w:val="7C27683F"/>
    <w:rsid w:val="7C744BEA"/>
    <w:rsid w:val="7C86057F"/>
    <w:rsid w:val="7C8B6DF3"/>
    <w:rsid w:val="7CB14B4D"/>
    <w:rsid w:val="7CC33EB4"/>
    <w:rsid w:val="7CF26969"/>
    <w:rsid w:val="7D25523C"/>
    <w:rsid w:val="7D651213"/>
    <w:rsid w:val="7D836D0C"/>
    <w:rsid w:val="7D8E4A46"/>
    <w:rsid w:val="7DB23041"/>
    <w:rsid w:val="7E5F7809"/>
    <w:rsid w:val="7EB22415"/>
    <w:rsid w:val="7ED56C53"/>
    <w:rsid w:val="7EEA1BAF"/>
    <w:rsid w:val="7F5460D4"/>
    <w:rsid w:val="7F552892"/>
    <w:rsid w:val="7F7F5451"/>
    <w:rsid w:val="7F852746"/>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link w:val="152"/>
    <w:qFormat/>
    <w:uiPriority w:val="99"/>
    <w:pPr>
      <w:ind w:firstLine="420"/>
    </w:pPr>
    <w:rPr>
      <w:rFonts w:ascii="Times New Roman" w:hAnsi="Times New Roman"/>
      <w:kern w:val="0"/>
      <w:sz w:val="20"/>
      <w:szCs w:val="2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2"/>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3"/>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5"/>
    <w:next w:val="15"/>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5"/>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3"/>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2"/>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1"/>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F5AA74-2290-4220-B658-65DFAE7807C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98</Pages>
  <Words>3838</Words>
  <Characters>21881</Characters>
  <Lines>182</Lines>
  <Paragraphs>51</Paragraphs>
  <TotalTime>168</TotalTime>
  <ScaleCrop>false</ScaleCrop>
  <LinksUpToDate>false</LinksUpToDate>
  <CharactersWithSpaces>25668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2024-06-21T03:25:00Z</cp:lastPrinted>
  <dcterms:modified xsi:type="dcterms:W3CDTF">2025-09-15T02:06:48Z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A59F3589425A4443B82735B58372AD97_13</vt:lpwstr>
  </property>
  <property fmtid="{D5CDD505-2E9C-101B-9397-08002B2CF9AE}" pid="4" name="KSOTemplateDocerSaveRecord">
    <vt:lpwstr>eyJoZGlkIjoiMGEyZmJjNWQ2ODgwYzY0ZDEzMTdlYzkzZWRhZjUxNjciLCJ1c2VySWQiOiIyOTExNDA4MjgifQ==</vt:lpwstr>
  </property>
</Properties>
</file>