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09B2F">
      <w:pPr>
        <w:pStyle w:val="2"/>
        <w:jc w:val="center"/>
        <w:rPr>
          <w:rFonts w:ascii="Calibri" w:hAnsi="宋体" w:eastAsia="宋体" w:cs="Times New Roman"/>
          <w:b/>
          <w:bCs/>
          <w:color w:val="000000"/>
          <w:spacing w:val="-8"/>
          <w:sz w:val="48"/>
          <w:szCs w:val="44"/>
        </w:rPr>
      </w:pPr>
      <w:bookmarkStart w:id="0" w:name="OLE_LINK30"/>
      <w:bookmarkStart w:id="1" w:name="OLE_LINK31"/>
    </w:p>
    <w:p w14:paraId="41049DAE">
      <w:pPr>
        <w:pStyle w:val="2"/>
        <w:jc w:val="center"/>
        <w:rPr>
          <w:rFonts w:ascii="Calibri" w:hAnsi="宋体" w:eastAsia="宋体" w:cs="Times New Roman"/>
          <w:b/>
          <w:bCs/>
          <w:color w:val="000000"/>
          <w:spacing w:val="-8"/>
          <w:sz w:val="48"/>
          <w:szCs w:val="44"/>
        </w:rPr>
      </w:pPr>
    </w:p>
    <w:p w14:paraId="1BA3ABB1">
      <w:pPr>
        <w:pStyle w:val="2"/>
        <w:jc w:val="center"/>
        <w:rPr>
          <w:rFonts w:ascii="Calibri" w:hAnsi="宋体" w:eastAsia="宋体" w:cs="Times New Roman"/>
          <w:b/>
          <w:bCs/>
          <w:color w:val="000000"/>
          <w:spacing w:val="-8"/>
          <w:sz w:val="48"/>
          <w:szCs w:val="44"/>
        </w:rPr>
      </w:pPr>
    </w:p>
    <w:p w14:paraId="588BDD51">
      <w:pPr>
        <w:pStyle w:val="2"/>
        <w:jc w:val="center"/>
      </w:pPr>
      <w:r>
        <w:rPr>
          <w:rFonts w:hint="eastAsia" w:ascii="Calibri" w:hAnsi="宋体" w:eastAsia="宋体" w:cs="Times New Roman"/>
          <w:b/>
          <w:bCs/>
          <w:color w:val="000000"/>
          <w:spacing w:val="-8"/>
          <w:sz w:val="48"/>
          <w:szCs w:val="44"/>
        </w:rPr>
        <w:t>产品试验检测中心气压脉冲试验台、座椅头枕强度试验台、多楔带试验台项目</w:t>
      </w:r>
    </w:p>
    <w:p w14:paraId="1A6358F3">
      <w:pPr>
        <w:jc w:val="right"/>
        <w:rPr>
          <w:rFonts w:ascii="Calibri" w:hAnsi="Calibri" w:eastAsia="宋体" w:cs="Times New Roman"/>
          <w:color w:val="000000"/>
          <w:sz w:val="28"/>
          <w:szCs w:val="28"/>
        </w:rPr>
      </w:pPr>
    </w:p>
    <w:p w14:paraId="05B60C5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73CA71B9">
      <w:pPr>
        <w:jc w:val="center"/>
        <w:rPr>
          <w:rFonts w:ascii="黑体" w:hAnsi="宋体" w:eastAsia="黑体" w:cs="Times New Roman"/>
          <w:color w:val="000000"/>
          <w:sz w:val="72"/>
          <w:szCs w:val="72"/>
        </w:rPr>
      </w:pPr>
    </w:p>
    <w:p w14:paraId="2F5EDD5B">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ED801F7">
      <w:pPr>
        <w:jc w:val="center"/>
        <w:rPr>
          <w:rFonts w:ascii="黑体" w:hAnsi="宋体" w:eastAsia="黑体" w:cs="Times New Roman"/>
          <w:color w:val="000000"/>
          <w:sz w:val="72"/>
          <w:szCs w:val="72"/>
        </w:rPr>
      </w:pPr>
    </w:p>
    <w:p w14:paraId="0FBB7A04">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091C6A40">
      <w:pPr>
        <w:spacing w:line="860" w:lineRule="exact"/>
        <w:rPr>
          <w:rFonts w:ascii="华文仿宋" w:hAnsi="华文仿宋" w:eastAsia="华文仿宋"/>
          <w:sz w:val="32"/>
          <w:szCs w:val="28"/>
        </w:rPr>
      </w:pPr>
      <w:r>
        <w:rPr>
          <w:rFonts w:hint="eastAsia" w:ascii="华文仿宋" w:hAnsi="华文仿宋" w:eastAsia="华文仿宋"/>
          <w:sz w:val="32"/>
          <w:szCs w:val="28"/>
        </w:rPr>
        <w:t xml:space="preserve">            </w:t>
      </w:r>
    </w:p>
    <w:p w14:paraId="372D3ACD">
      <w:pPr>
        <w:spacing w:line="860" w:lineRule="exact"/>
        <w:rPr>
          <w:rFonts w:ascii="华文仿宋" w:hAnsi="华文仿宋" w:eastAsia="华文仿宋"/>
          <w:sz w:val="32"/>
          <w:szCs w:val="28"/>
        </w:rPr>
      </w:pPr>
    </w:p>
    <w:p w14:paraId="1D8E3F43">
      <w:pPr>
        <w:spacing w:line="860" w:lineRule="exact"/>
        <w:rPr>
          <w:rFonts w:ascii="华文仿宋" w:hAnsi="华文仿宋" w:eastAsia="华文仿宋"/>
          <w:sz w:val="32"/>
          <w:szCs w:val="28"/>
        </w:rPr>
      </w:pPr>
    </w:p>
    <w:p w14:paraId="5F668C48">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7A71ADDE">
      <w:pPr>
        <w:pStyle w:val="2"/>
        <w:rPr>
          <w:b/>
          <w:bCs/>
        </w:rPr>
      </w:pPr>
    </w:p>
    <w:p w14:paraId="5D13AD1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2472818E">
      <w:pPr>
        <w:jc w:val="center"/>
        <w:rPr>
          <w:rFonts w:ascii="宋体" w:hAnsi="Calibri" w:eastAsia="宋体" w:cs="Times New Roman"/>
          <w:color w:val="000000"/>
          <w:sz w:val="28"/>
          <w:szCs w:val="28"/>
        </w:rPr>
      </w:pPr>
      <w:r>
        <w:rPr>
          <w:rFonts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0</w:t>
      </w:r>
      <w:r>
        <w:rPr>
          <w:rFonts w:hint="eastAsia" w:ascii="Calibri" w:hAnsi="Calibri" w:eastAsia="宋体" w:cs="Times New Roman"/>
          <w:color w:val="000000"/>
          <w:sz w:val="28"/>
          <w:szCs w:val="28"/>
          <w:lang w:val="en-US" w:eastAsia="zh-CN"/>
        </w:rPr>
        <w:t>8</w:t>
      </w:r>
      <w:r>
        <w:rPr>
          <w:rFonts w:hint="eastAsia" w:ascii="Calibri" w:hAnsi="Calibri" w:eastAsia="宋体" w:cs="Times New Roman"/>
          <w:color w:val="000000"/>
          <w:sz w:val="28"/>
          <w:szCs w:val="28"/>
        </w:rPr>
        <w:t>月</w:t>
      </w:r>
    </w:p>
    <w:p w14:paraId="35068DF1">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18864C13">
          <w:pPr>
            <w:spacing w:line="480" w:lineRule="auto"/>
            <w:jc w:val="center"/>
            <w:rPr>
              <w:rFonts w:cs="宋体"/>
              <w:b/>
              <w:bCs/>
              <w:sz w:val="48"/>
              <w:szCs w:val="48"/>
            </w:rPr>
          </w:pPr>
          <w:r>
            <w:rPr>
              <w:rFonts w:ascii="宋体" w:hAnsi="宋体" w:eastAsia="宋体" w:cs="宋体"/>
              <w:b/>
              <w:bCs/>
              <w:sz w:val="48"/>
              <w:szCs w:val="48"/>
            </w:rPr>
            <w:t>目录</w:t>
          </w:r>
        </w:p>
        <w:p w14:paraId="0F5ADC16">
          <w:pPr>
            <w:pStyle w:val="31"/>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29ABEB2E">
          <w:pPr>
            <w:pStyle w:val="31"/>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6E35084C">
          <w:pPr>
            <w:pStyle w:val="31"/>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7DB2339F">
          <w:pPr>
            <w:pStyle w:val="31"/>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2CFF7D1B">
          <w:pPr>
            <w:pStyle w:val="31"/>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35</w:t>
          </w:r>
        </w:p>
        <w:p w14:paraId="557DB870">
          <w:pPr>
            <w:pStyle w:val="31"/>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53</w:t>
          </w:r>
        </w:p>
        <w:p w14:paraId="0ACC5DC3">
          <w:pPr>
            <w:pStyle w:val="2"/>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7F7A72C1">
      <w:pPr>
        <w:pStyle w:val="2"/>
        <w:numPr>
          <w:ilvl w:val="0"/>
          <w:numId w:val="7"/>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0087B67E">
      <w:pPr>
        <w:pStyle w:val="2"/>
        <w:jc w:val="center"/>
        <w:rPr>
          <w:rFonts w:ascii="Calibri" w:hAnsi="Calibri" w:eastAsia="宋体" w:cs="Times New Roman"/>
          <w:b/>
          <w:bCs/>
          <w:kern w:val="44"/>
          <w:sz w:val="36"/>
          <w:szCs w:val="44"/>
        </w:rPr>
      </w:pPr>
    </w:p>
    <w:p w14:paraId="77E6EE63">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38627A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212ED340">
            <w:pPr>
              <w:jc w:val="center"/>
              <w:rPr>
                <w:rStyle w:val="138"/>
                <w:rFonts w:ascii="宋体" w:hAnsi="宋体" w:eastAsia="宋体" w:cs="宋体"/>
                <w:b/>
                <w:sz w:val="28"/>
                <w:szCs w:val="28"/>
              </w:rPr>
            </w:pPr>
            <w:bookmarkStart w:id="3" w:name="_Toc346372875"/>
            <w:r>
              <w:rPr>
                <w:rStyle w:val="13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7AB90C42">
            <w:pPr>
              <w:ind w:firstLine="562" w:firstLineChars="200"/>
              <w:jc w:val="center"/>
              <w:rPr>
                <w:rFonts w:ascii="宋体" w:hAnsi="宋体" w:eastAsia="宋体" w:cs="宋体"/>
                <w:b/>
                <w:bCs/>
                <w:sz w:val="28"/>
                <w:szCs w:val="28"/>
              </w:rPr>
            </w:pPr>
            <w:r>
              <w:rPr>
                <w:rStyle w:val="138"/>
                <w:rFonts w:hint="eastAsia" w:ascii="宋体" w:hAnsi="宋体" w:eastAsia="宋体" w:cs="宋体"/>
                <w:b/>
                <w:sz w:val="28"/>
                <w:szCs w:val="28"/>
              </w:rPr>
              <w:t>编  列  内  容</w:t>
            </w:r>
          </w:p>
        </w:tc>
      </w:tr>
      <w:tr w14:paraId="0B534F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89CB0F8">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101EB4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A471703">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534EE70">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u w:val="single"/>
              </w:rPr>
              <w:t>产品试验检测中心气压脉冲试验台、座椅头枕强度试验台、多楔带试验台项目</w:t>
            </w:r>
          </w:p>
        </w:tc>
      </w:tr>
      <w:tr w14:paraId="28BC964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46C0416">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7CC9E05D">
            <w:pPr>
              <w:ind w:firstLine="482" w:firstLineChars="200"/>
              <w:rPr>
                <w:rFonts w:ascii="宋体" w:hAnsi="宋体" w:eastAsia="宋体" w:cs="宋体"/>
                <w:b/>
                <w:bCs/>
                <w:sz w:val="24"/>
                <w:szCs w:val="24"/>
              </w:rPr>
            </w:pPr>
            <w:r>
              <w:rPr>
                <w:rFonts w:hint="eastAsia" w:ascii="宋体" w:hAnsi="宋体" w:eastAsia="宋体" w:cs="宋体"/>
                <w:b/>
                <w:bCs/>
                <w:sz w:val="24"/>
                <w:szCs w:val="24"/>
              </w:rPr>
              <w:t>采购形式编号：CGZX2025080184</w:t>
            </w:r>
          </w:p>
        </w:tc>
      </w:tr>
      <w:tr w14:paraId="6D0E54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96F27C1">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68DDEAF2">
            <w:pPr>
              <w:ind w:firstLine="482" w:firstLineChars="200"/>
              <w:rPr>
                <w:rFonts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sz w:val="24"/>
                <w:szCs w:val="24"/>
                <w:u w:val="single"/>
              </w:rPr>
              <w:t>产品试验检测中心气压脉冲试验台、座椅头枕强度试验台、多楔带试验台由重汽科技大厦搬迁至莱芜新能源试验室</w:t>
            </w:r>
          </w:p>
        </w:tc>
      </w:tr>
      <w:tr w14:paraId="0535BD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6D3CE87B">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9AA8C5B">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14:paraId="1B19614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764F5DF7">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447F635C">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14:paraId="3DD427BE">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14:paraId="6F1C5C44">
            <w:pPr>
              <w:ind w:firstLine="482" w:firstLineChars="200"/>
              <w:rPr>
                <w:rFonts w:hint="eastAsia"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商务联系人</w:t>
            </w:r>
            <w:r>
              <w:rPr>
                <w:rFonts w:hint="eastAsia" w:ascii="宋体" w:hAnsi="宋体" w:eastAsia="宋体" w:cs="宋体"/>
                <w:b/>
                <w:snapToGrid w:val="0"/>
                <w:kern w:val="0"/>
                <w:sz w:val="24"/>
                <w:szCs w:val="24"/>
                <w:highlight w:val="yellow"/>
                <w:lang w:eastAsia="zh-CN"/>
              </w:rPr>
              <w:t>：</w:t>
            </w:r>
            <w:r>
              <w:rPr>
                <w:rFonts w:hint="eastAsia" w:ascii="宋体" w:hAnsi="宋体" w:eastAsia="宋体" w:cs="宋体"/>
                <w:bCs/>
                <w:snapToGrid w:val="0"/>
                <w:kern w:val="0"/>
                <w:sz w:val="24"/>
                <w:szCs w:val="24"/>
                <w:highlight w:val="yellow"/>
                <w:lang w:val="en-US" w:eastAsia="zh-CN"/>
              </w:rPr>
              <w:t>张瑜</w:t>
            </w:r>
          </w:p>
          <w:p w14:paraId="799CA819">
            <w:pPr>
              <w:pStyle w:val="2"/>
              <w:ind w:firstLine="482" w:firstLineChars="200"/>
              <w:rPr>
                <w:rFonts w:hint="default" w:eastAsia="宋体"/>
                <w:highlight w:val="yellow"/>
                <w:lang w:val="en-US" w:eastAsia="zh-CN"/>
              </w:rPr>
            </w:pPr>
            <w:r>
              <w:rPr>
                <w:rFonts w:hint="eastAsia"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17860601349</w:t>
            </w:r>
          </w:p>
          <w:p w14:paraId="228F7E8A">
            <w:pPr>
              <w:ind w:firstLine="482" w:firstLineChars="200"/>
              <w:rPr>
                <w:rFonts w:hint="eastAsia" w:ascii="宋体" w:hAnsi="宋体" w:eastAsia="宋体" w:cs="宋体"/>
                <w:b/>
                <w:snapToGrid w:val="0"/>
                <w:kern w:val="0"/>
                <w:sz w:val="24"/>
                <w:szCs w:val="24"/>
                <w:highlight w:val="yellow"/>
              </w:rPr>
            </w:pPr>
            <w:r>
              <w:rPr>
                <w:rFonts w:hint="eastAsia" w:ascii="宋体" w:hAnsi="宋体" w:eastAsia="宋体" w:cs="宋体"/>
                <w:b/>
                <w:snapToGrid w:val="0"/>
                <w:kern w:val="0"/>
                <w:sz w:val="24"/>
                <w:szCs w:val="24"/>
                <w:highlight w:val="yellow"/>
              </w:rPr>
              <w:t>邮箱：</w:t>
            </w:r>
            <w:r>
              <w:rPr>
                <w:rFonts w:hint="eastAsia" w:ascii="宋体" w:hAnsi="宋体" w:eastAsia="宋体" w:cs="宋体"/>
                <w:b/>
                <w:snapToGrid w:val="0"/>
                <w:kern w:val="0"/>
                <w:sz w:val="24"/>
                <w:szCs w:val="24"/>
                <w:highlight w:val="yellow"/>
              </w:rPr>
              <w:fldChar w:fldCharType="begin"/>
            </w:r>
            <w:r>
              <w:rPr>
                <w:rFonts w:hint="eastAsia" w:ascii="宋体" w:hAnsi="宋体" w:eastAsia="宋体" w:cs="宋体"/>
                <w:b/>
                <w:snapToGrid w:val="0"/>
                <w:kern w:val="0"/>
                <w:sz w:val="24"/>
                <w:szCs w:val="24"/>
                <w:highlight w:val="yellow"/>
              </w:rPr>
              <w:instrText xml:space="preserve"> HYPERLINK "mailto:zhangyuhwkc@sinotruk.com" </w:instrText>
            </w:r>
            <w:r>
              <w:rPr>
                <w:rFonts w:hint="eastAsia" w:ascii="宋体" w:hAnsi="宋体" w:eastAsia="宋体" w:cs="宋体"/>
                <w:b/>
                <w:snapToGrid w:val="0"/>
                <w:kern w:val="0"/>
                <w:sz w:val="24"/>
                <w:szCs w:val="24"/>
                <w:highlight w:val="yellow"/>
              </w:rPr>
              <w:fldChar w:fldCharType="separate"/>
            </w:r>
            <w:r>
              <w:rPr>
                <w:rStyle w:val="53"/>
                <w:rFonts w:hint="eastAsia" w:ascii="宋体" w:hAnsi="宋体" w:eastAsia="宋体" w:cs="宋体"/>
                <w:b/>
                <w:snapToGrid w:val="0"/>
                <w:kern w:val="0"/>
                <w:sz w:val="24"/>
                <w:szCs w:val="24"/>
                <w:highlight w:val="yellow"/>
              </w:rPr>
              <w:t>zhangyuhwkc@sinotruk.com</w:t>
            </w:r>
            <w:r>
              <w:rPr>
                <w:rFonts w:hint="eastAsia" w:ascii="宋体" w:hAnsi="宋体" w:eastAsia="宋体" w:cs="宋体"/>
                <w:b/>
                <w:snapToGrid w:val="0"/>
                <w:kern w:val="0"/>
                <w:sz w:val="24"/>
                <w:szCs w:val="24"/>
                <w:highlight w:val="yellow"/>
              </w:rPr>
              <w:fldChar w:fldCharType="end"/>
            </w:r>
          </w:p>
          <w:p w14:paraId="6C2D07FA">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技术联系人：</w:t>
            </w:r>
            <w:r>
              <w:rPr>
                <w:rFonts w:hint="eastAsia" w:ascii="宋体" w:hAnsi="宋体" w:eastAsia="宋体" w:cs="宋体"/>
                <w:bCs/>
                <w:snapToGrid w:val="0"/>
                <w:kern w:val="0"/>
                <w:sz w:val="24"/>
                <w:szCs w:val="24"/>
                <w:highlight w:val="yellow"/>
              </w:rPr>
              <w:t>姚树寅</w:t>
            </w:r>
          </w:p>
          <w:p w14:paraId="2183567F">
            <w:pPr>
              <w:pStyle w:val="2"/>
              <w:ind w:firstLine="482" w:firstLineChars="200"/>
              <w:rPr>
                <w:rFonts w:hAnsi="宋体" w:eastAsia="宋体" w:cs="宋体"/>
                <w:bCs/>
                <w:snapToGrid w:val="0"/>
                <w:kern w:val="0"/>
                <w:sz w:val="24"/>
                <w:szCs w:val="24"/>
                <w:highlight w:val="yellow"/>
              </w:rPr>
            </w:pPr>
            <w:r>
              <w:rPr>
                <w:rFonts w:hint="eastAsia" w:hAnsi="宋体" w:eastAsia="宋体" w:cs="宋体"/>
                <w:b/>
                <w:snapToGrid w:val="0"/>
                <w:kern w:val="0"/>
                <w:sz w:val="24"/>
                <w:szCs w:val="24"/>
                <w:highlight w:val="yellow"/>
              </w:rPr>
              <w:t>电话：</w:t>
            </w:r>
            <w:r>
              <w:rPr>
                <w:rFonts w:hAnsi="宋体" w:eastAsia="宋体" w:cs="宋体"/>
                <w:bCs/>
                <w:snapToGrid w:val="0"/>
                <w:kern w:val="0"/>
                <w:sz w:val="24"/>
                <w:szCs w:val="24"/>
                <w:highlight w:val="yellow"/>
              </w:rPr>
              <w:t>0537-58066269</w:t>
            </w:r>
          </w:p>
          <w:p w14:paraId="50A5C828">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highlight w:val="yellow"/>
              </w:rPr>
              <w:t>邮箱：</w:t>
            </w:r>
            <w:r>
              <w:rPr>
                <w:rFonts w:ascii="宋体" w:hAnsi="宋体" w:eastAsia="宋体" w:cs="宋体"/>
                <w:bCs/>
                <w:snapToGrid w:val="0"/>
                <w:kern w:val="0"/>
                <w:sz w:val="24"/>
                <w:szCs w:val="24"/>
                <w:highlight w:val="yellow"/>
              </w:rPr>
              <w:t>yaoshuyin</w:t>
            </w:r>
            <w:r>
              <w:rPr>
                <w:rFonts w:hint="eastAsia" w:ascii="宋体" w:hAnsi="宋体" w:eastAsia="宋体" w:cs="宋体"/>
                <w:bCs/>
                <w:snapToGrid w:val="0"/>
                <w:kern w:val="0"/>
                <w:sz w:val="24"/>
                <w:szCs w:val="24"/>
                <w:highlight w:val="yellow"/>
              </w:rPr>
              <w:t>@sinotruk.com</w:t>
            </w:r>
          </w:p>
        </w:tc>
      </w:tr>
      <w:tr w14:paraId="761D3B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084E3B1E">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367759E">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7680E66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3D5CE0D3">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243BA5CC">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0CD656D3">
            <w:pPr>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37B75464">
            <w:pPr>
              <w:pStyle w:val="2"/>
              <w:ind w:firstLine="482" w:firstLineChars="200"/>
              <w:rPr>
                <w:rFonts w:eastAsia="宋体"/>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w:t>
            </w:r>
            <w:r>
              <w:rPr>
                <w:rFonts w:hint="eastAsia" w:hAnsi="宋体" w:eastAsia="宋体" w:cs="Times New Roman"/>
                <w:b/>
                <w:bCs/>
                <w:color w:val="000000"/>
                <w:sz w:val="24"/>
                <w:szCs w:val="24"/>
                <w:highlight w:val="yellow"/>
              </w:rPr>
              <w:t>人民币</w:t>
            </w:r>
            <w:r>
              <w:rPr>
                <w:rFonts w:hAnsi="宋体" w:eastAsia="宋体" w:cs="Times New Roman"/>
                <w:b/>
                <w:bCs/>
                <w:color w:val="000000"/>
                <w:sz w:val="24"/>
                <w:szCs w:val="24"/>
                <w:highlight w:val="yellow"/>
              </w:rPr>
              <w:t>25</w:t>
            </w:r>
            <w:r>
              <w:rPr>
                <w:rFonts w:hint="eastAsia" w:hAnsi="宋体" w:eastAsia="宋体" w:cs="Times New Roman"/>
                <w:b/>
                <w:bCs/>
                <w:color w:val="000000"/>
                <w:sz w:val="24"/>
                <w:szCs w:val="24"/>
                <w:highlight w:val="yellow"/>
              </w:rPr>
              <w:t>万元（含税，税率13%），超过投标限价无法投标</w:t>
            </w:r>
            <w:r>
              <w:rPr>
                <w:rFonts w:hint="eastAsia" w:hAnsi="宋体" w:eastAsia="宋体" w:cs="Times New Roman"/>
                <w:color w:val="000000"/>
                <w:sz w:val="24"/>
                <w:szCs w:val="24"/>
              </w:rPr>
              <w:t>。</w:t>
            </w:r>
          </w:p>
        </w:tc>
      </w:tr>
      <w:tr w14:paraId="36289B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5724AAF2">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A1A35C1">
            <w:pPr>
              <w:pStyle w:val="2"/>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42217DD0">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拟投标人为在中华人民共和国依照《中华人民共和国公司法》注册的、具有法人资格的有能力提供招标产品的制造厂商，并提供营业执照副本。</w:t>
            </w:r>
          </w:p>
          <w:p w14:paraId="730DA81A">
            <w:pPr>
              <w:pStyle w:val="2"/>
              <w:numPr>
                <w:ilvl w:val="0"/>
                <w:numId w:val="8"/>
              </w:numPr>
              <w:ind w:left="0" w:leftChars="0" w:firstLine="480" w:firstLineChars="200"/>
              <w:rPr>
                <w:rFonts w:hAnsi="宋体" w:eastAsia="宋体" w:cs="宋体"/>
                <w:color w:val="000000"/>
                <w:sz w:val="24"/>
                <w:szCs w:val="24"/>
                <w:highlight w:val="yellow"/>
              </w:rPr>
            </w:pPr>
            <w:r>
              <w:rPr>
                <w:rFonts w:ascii="宋体" w:hAnsi="宋体" w:eastAsia="宋体" w:cs="宋体"/>
                <w:sz w:val="24"/>
                <w:szCs w:val="24"/>
                <w:highlight w:val="yellow"/>
              </w:rPr>
              <w:t>注册资金不低于标的额或不少于100万人民币（或等值其他货币）；公司成立三年以上（以营业执照成立日期到开标当日满三年为准），且经营范围满足招标人需求；并在人员、设备、资金等方面具有承担本项目的能力</w:t>
            </w:r>
            <w:r>
              <w:rPr>
                <w:rFonts w:hint="eastAsia" w:hAnsi="宋体" w:eastAsia="宋体" w:cs="宋体"/>
                <w:sz w:val="24"/>
                <w:szCs w:val="24"/>
                <w:highlight w:val="yellow"/>
                <w:lang w:eastAsia="zh-CN"/>
              </w:rPr>
              <w:t>。</w:t>
            </w:r>
          </w:p>
          <w:p w14:paraId="3D4FD66C">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截至2025年6月，3年内具有与搬迁同类设备自主设计及生产制造、安装、调试及售后能力。本项目不接受代理商或贸易商参与投标；</w:t>
            </w:r>
          </w:p>
          <w:p w14:paraId="42E7EE68">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信用记录良好，无失信被执行人记录、无采购违法、受行政处罚等行为。（提供在信用中国官网、中国政府采购网、中国执行信息公开网、国家税务总局网站的信息查询结果截屏，并加盖单位公章，做入投标文件中）；</w:t>
            </w:r>
          </w:p>
          <w:p w14:paraId="40418913">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拟投标人不存在严重违规或被列入招标人“黑名单”的声明；</w:t>
            </w:r>
          </w:p>
          <w:p w14:paraId="2E6837CD">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拟投标人最近五年企业有销售汽车制动系统非标试验设备或者设备维修业绩。报名及投标时需提供用户清单，同时需提供用户合同复印件。</w:t>
            </w:r>
          </w:p>
          <w:p w14:paraId="3C77A651">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拟投标人近三年内在经营活动中无与本项目有关的违法及重大违规情况；</w:t>
            </w:r>
          </w:p>
          <w:p w14:paraId="2DD6C9F2">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拟投标人须认可招标人的工作指令，包括节、假日能正常开展工作的要求；</w:t>
            </w:r>
          </w:p>
          <w:p w14:paraId="08E7593B">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拟投标人最近半年纳税正常；</w:t>
            </w:r>
          </w:p>
          <w:p w14:paraId="462B88AD">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没有被我公司列入黑名单；</w:t>
            </w:r>
          </w:p>
          <w:p w14:paraId="79A46EBD">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拟投标人信用证明材料（信用报告）未显示异常；</w:t>
            </w:r>
          </w:p>
          <w:p w14:paraId="45AA47D2">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拟投标人的直接或间接股东、法定代表人、董事、监事、高管非重汽员工及其亲属；</w:t>
            </w:r>
          </w:p>
          <w:p w14:paraId="5F2FDA46">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投标方在本项目所使用控制软件必须具备完全的自主知识产权，投标方需提供相关证明材料，包括软件的专利证书、著作权登记证明等，以证明其软件具备自主知识产权。</w:t>
            </w:r>
          </w:p>
          <w:p w14:paraId="36D9B45D">
            <w:pPr>
              <w:pStyle w:val="2"/>
              <w:numPr>
                <w:ilvl w:val="0"/>
                <w:numId w:val="8"/>
              </w:numPr>
              <w:ind w:left="0" w:leftChars="0" w:firstLine="480" w:firstLineChars="200"/>
              <w:rPr>
                <w:rFonts w:hAnsi="宋体" w:eastAsia="宋体" w:cs="宋体"/>
                <w:color w:val="000000"/>
                <w:sz w:val="24"/>
                <w:szCs w:val="24"/>
              </w:rPr>
            </w:pPr>
            <w:r>
              <w:rPr>
                <w:rFonts w:hAnsi="宋体" w:eastAsia="宋体" w:cs="宋体"/>
                <w:color w:val="000000"/>
                <w:sz w:val="24"/>
                <w:szCs w:val="24"/>
              </w:rPr>
              <w:t>本项目不接受联合体投标，拟投标人必须是最终投标单位和签订合同单位，不得以任何理由将已中标项目以任何形式分包或转包给其他单位。</w:t>
            </w:r>
          </w:p>
        </w:tc>
      </w:tr>
      <w:tr w14:paraId="6801B0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90CDF83">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40BE9D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4456CB6D">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1E1CE55F">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9</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25</w:t>
            </w:r>
            <w:r>
              <w:rPr>
                <w:rFonts w:hint="eastAsia" w:ascii="宋体" w:hAnsi="宋体" w:eastAsia="宋体" w:cs="宋体"/>
                <w:bCs/>
                <w:sz w:val="24"/>
                <w:szCs w:val="24"/>
                <w:highlight w:val="yellow"/>
              </w:rPr>
              <w:t>日;</w:t>
            </w:r>
          </w:p>
        </w:tc>
      </w:tr>
      <w:tr w14:paraId="6E1DC2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5D214938">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1AEB2D27">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Times New Roman"/>
                <w:color w:val="000000"/>
                <w:sz w:val="24"/>
                <w:szCs w:val="24"/>
              </w:rPr>
              <w:t>。</w:t>
            </w:r>
          </w:p>
        </w:tc>
      </w:tr>
      <w:tr w14:paraId="09A6FB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49C0E86B">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6BD753CB">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4B03402F">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u w:val="single"/>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u w:val="single"/>
                <w:lang w:val="en-US" w:eastAsia="zh-CN"/>
              </w:rPr>
              <w:t>10</w:t>
            </w:r>
            <w:r>
              <w:rPr>
                <w:rFonts w:hint="eastAsia" w:ascii="宋体" w:hAnsi="宋体" w:eastAsia="宋体" w:cs="宋体"/>
                <w:bCs/>
                <w:sz w:val="24"/>
                <w:szCs w:val="24"/>
                <w:highlight w:val="yellow"/>
              </w:rPr>
              <w:t>日12:00前；</w:t>
            </w:r>
          </w:p>
          <w:p w14:paraId="53AD3CBE">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2DF1AE8">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3B1339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081A93B2">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0459ADD">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lang w:val="en-US" w:eastAsia="zh-CN"/>
              </w:rPr>
              <w:t>10</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10</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14:paraId="70F70895">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4549D38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46752EB6">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5AB35CEE">
            <w:pPr>
              <w:pStyle w:val="12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1BF8E1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7C0FD02B">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11BFC49F">
            <w:pPr>
              <w:pStyle w:val="121"/>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10</w:t>
            </w:r>
            <w:r>
              <w:rPr>
                <w:rFonts w:hint="eastAsia" w:eastAsia="宋体" w:cs="宋体"/>
                <w:highlight w:val="yellow"/>
              </w:rPr>
              <w:t>月</w:t>
            </w:r>
            <w:r>
              <w:rPr>
                <w:rFonts w:hint="eastAsia" w:eastAsia="宋体" w:cs="宋体"/>
                <w:highlight w:val="yellow"/>
                <w:lang w:val="en-US" w:eastAsia="zh-CN"/>
              </w:rPr>
              <w:t>10</w:t>
            </w:r>
            <w:r>
              <w:rPr>
                <w:rFonts w:hint="eastAsia" w:eastAsia="宋体" w:cs="宋体"/>
                <w:highlight w:val="yellow"/>
              </w:rPr>
              <w:t>日17时00分00秒</w:t>
            </w:r>
          </w:p>
          <w:p w14:paraId="47C649FC">
            <w:pPr>
              <w:pStyle w:val="121"/>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3057D5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3DA2107">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550482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719F2BFE">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D816A00">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14D27F53">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0D4F9EAE">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222F0B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2EA2790E">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9C4E247">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5CDE6ACF">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53D1A4AA">
            <w:pPr>
              <w:pStyle w:val="2"/>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77E8BD82">
            <w:pPr>
              <w:pStyle w:val="2"/>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0F49622D">
            <w:pPr>
              <w:pStyle w:val="2"/>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highlight w:val="yellow"/>
              </w:rPr>
              <w:t>山东省济南市历城区华奥路</w:t>
            </w:r>
            <w:r>
              <w:rPr>
                <w:rFonts w:hAnsi="宋体" w:eastAsia="宋体" w:cs="Times New Roman"/>
                <w:color w:val="000000"/>
                <w:sz w:val="24"/>
                <w:szCs w:val="24"/>
                <w:highlight w:val="yellow"/>
              </w:rPr>
              <w:t>777</w:t>
            </w:r>
            <w:r>
              <w:rPr>
                <w:rFonts w:hint="eastAsia" w:hAnsi="宋体" w:eastAsia="宋体" w:cs="Times New Roman"/>
                <w:color w:val="000000"/>
                <w:sz w:val="24"/>
                <w:szCs w:val="24"/>
                <w:highlight w:val="yellow"/>
              </w:rPr>
              <w:t>号</w:t>
            </w:r>
          </w:p>
          <w:p w14:paraId="660DF084">
            <w:pPr>
              <w:pStyle w:val="2"/>
              <w:rPr>
                <w:rFonts w:hAnsi="宋体" w:eastAsia="宋体" w:cs="Times New Roman"/>
                <w:color w:val="000000"/>
                <w:sz w:val="24"/>
                <w:szCs w:val="24"/>
              </w:rPr>
            </w:pPr>
            <w:r>
              <w:rPr>
                <w:rFonts w:hint="eastAsia" w:hAnsi="宋体" w:eastAsia="宋体" w:cs="Times New Roman"/>
                <w:b/>
                <w:bCs/>
                <w:color w:val="000000"/>
                <w:sz w:val="24"/>
                <w:szCs w:val="24"/>
              </w:rPr>
              <w:t>联系人及联系方式：姚树寅18753155919</w:t>
            </w:r>
          </w:p>
        </w:tc>
      </w:tr>
      <w:tr w14:paraId="65C659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72BC85BB">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39150DC4">
            <w:pPr>
              <w:pStyle w:val="2"/>
              <w:ind w:firstLine="482" w:firstLineChars="200"/>
              <w:rPr>
                <w:rFonts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14:paraId="404F45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76F6A04B">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5622051">
            <w:pPr>
              <w:pStyle w:val="19"/>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29CA4058">
            <w:pPr>
              <w:pStyle w:val="2"/>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79B888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3380B54">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364135EF">
            <w:pPr>
              <w:pStyle w:val="2"/>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u w:val="single"/>
                <w:lang w:val="en-US" w:eastAsia="zh-CN"/>
              </w:rPr>
              <w:t>10</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31</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p>
          <w:p w14:paraId="6123536D">
            <w:pPr>
              <w:pStyle w:val="2"/>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07E03E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0638AC9A">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70715762">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79908F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D3F4FB5">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6EE8E6B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7198109">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7A991686">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22489BA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2C41658F">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7EFB65CB">
            <w:pPr>
              <w:tabs>
                <w:tab w:val="left" w:pos="932"/>
              </w:tabs>
              <w:ind w:firstLine="482" w:firstLineChars="200"/>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人民币10000元</w:t>
            </w:r>
          </w:p>
          <w:p w14:paraId="549F159D">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0D92CB87">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60BA9774">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58162744">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4A236E48">
            <w:pPr>
              <w:ind w:firstLine="480" w:firstLineChars="200"/>
              <w:rPr>
                <w:rFonts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0B3BBEB0">
            <w:pPr>
              <w:ind w:firstLine="480" w:firstLineChars="200"/>
              <w:rPr>
                <w:rFonts w:ascii="宋体" w:hAnsi="宋体" w:eastAsia="宋体" w:cs="宋体"/>
                <w:sz w:val="24"/>
                <w:szCs w:val="24"/>
                <w:highlight w:val="cyan"/>
              </w:rPr>
            </w:pPr>
            <w:r>
              <w:rPr>
                <w:rFonts w:hint="eastAsia" w:eastAsia="宋体" w:cs="Times New Roman"/>
                <w:sz w:val="24"/>
                <w:szCs w:val="28"/>
                <w:highlight w:val="yellow"/>
              </w:rPr>
              <w:t>转账附言：公司名称+项目名称+投标保证金。</w:t>
            </w:r>
          </w:p>
        </w:tc>
      </w:tr>
      <w:tr w14:paraId="2A9E8E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6BF9265F">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1CC07A5B">
            <w:pPr>
              <w:pStyle w:val="44"/>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31</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w:t>
            </w:r>
            <w:r>
              <w:rPr>
                <w:rFonts w:hint="eastAsia" w:ascii="宋体" w:hAnsi="宋体" w:cs="宋体"/>
                <w:sz w:val="24"/>
                <w:szCs w:val="24"/>
                <w:highlight w:val="yellow"/>
                <w:lang w:val="en-US" w:eastAsia="zh-CN"/>
              </w:rPr>
              <w:t>0</w:t>
            </w:r>
            <w:r>
              <w:rPr>
                <w:rFonts w:hint="eastAsia" w:ascii="宋体" w:hAnsi="宋体" w:cs="宋体"/>
                <w:sz w:val="24"/>
                <w:szCs w:val="24"/>
                <w:highlight w:val="yellow"/>
              </w:rPr>
              <w:t>0前（同</w:t>
            </w:r>
            <w:r>
              <w:rPr>
                <w:rFonts w:hint="eastAsia" w:ascii="宋体" w:hAnsi="宋体" w:cs="宋体"/>
                <w:sz w:val="24"/>
                <w:szCs w:val="24"/>
                <w:highlight w:val="yellow"/>
                <w:lang w:val="en-US" w:eastAsia="zh-CN"/>
              </w:rPr>
              <w:t>投标</w:t>
            </w:r>
            <w:r>
              <w:rPr>
                <w:rFonts w:hint="eastAsia" w:ascii="宋体" w:hAnsi="宋体" w:cs="宋体"/>
                <w:sz w:val="24"/>
                <w:szCs w:val="24"/>
                <w:highlight w:val="yellow"/>
              </w:rPr>
              <w:t>截止时间）</w:t>
            </w:r>
          </w:p>
          <w:p w14:paraId="4BA0C7E0">
            <w:pPr>
              <w:pStyle w:val="44"/>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6EC82C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EE9DCD0">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C91E567">
            <w:pPr>
              <w:pStyle w:val="44"/>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07DBB7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82D9936">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35DF1D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B5DCF51">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2132FA96">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31</w:t>
            </w:r>
            <w:r>
              <w:rPr>
                <w:rFonts w:hint="eastAsia" w:ascii="宋体" w:hAnsi="宋体" w:cs="宋体"/>
                <w:sz w:val="24"/>
                <w:szCs w:val="24"/>
                <w:highlight w:val="yellow"/>
              </w:rPr>
              <w:t>日9:</w:t>
            </w:r>
            <w:r>
              <w:rPr>
                <w:rFonts w:hint="eastAsia" w:ascii="宋体" w:hAnsi="宋体" w:cs="宋体"/>
                <w:sz w:val="24"/>
                <w:szCs w:val="24"/>
                <w:highlight w:val="yellow"/>
                <w:lang w:val="en-US" w:eastAsia="zh-CN"/>
              </w:rPr>
              <w:t>0</w:t>
            </w:r>
            <w:bookmarkStart w:id="194" w:name="_GoBack"/>
            <w:bookmarkEnd w:id="194"/>
            <w:r>
              <w:rPr>
                <w:rFonts w:hint="eastAsia" w:ascii="宋体" w:hAnsi="宋体" w:cs="宋体"/>
                <w:sz w:val="24"/>
                <w:szCs w:val="24"/>
                <w:highlight w:val="yellow"/>
              </w:rPr>
              <w:t>0:00</w:t>
            </w:r>
            <w:r>
              <w:rPr>
                <w:rFonts w:hint="eastAsia" w:ascii="宋体" w:hAnsi="宋体" w:eastAsia="宋体" w:cs="宋体"/>
                <w:kern w:val="0"/>
                <w:sz w:val="24"/>
                <w:szCs w:val="24"/>
                <w:highlight w:val="yellow"/>
              </w:rPr>
              <w:t>。</w:t>
            </w:r>
          </w:p>
          <w:p w14:paraId="77445695">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/线上会议</w:t>
            </w:r>
            <w:r>
              <w:rPr>
                <w:rFonts w:hint="eastAsia" w:ascii="宋体" w:hAnsi="宋体" w:eastAsia="宋体" w:cs="宋体"/>
                <w:sz w:val="24"/>
                <w:szCs w:val="24"/>
              </w:rPr>
              <w:t>。</w:t>
            </w:r>
          </w:p>
        </w:tc>
      </w:tr>
      <w:tr w14:paraId="3504A6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8F422AC">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06EB34F2">
            <w:pPr>
              <w:pStyle w:val="17"/>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评标方法：资质标审核→唱标→技术标评审→商务标评审。技术标入围后，原则上选取</w:t>
            </w:r>
            <w:r>
              <w:rPr>
                <w:rFonts w:hint="eastAsia" w:ascii="宋体" w:hAnsi="宋体" w:eastAsia="宋体" w:cs="Times New Roman"/>
                <w:b/>
                <w:bCs/>
                <w:color w:val="000000"/>
                <w:sz w:val="24"/>
                <w:szCs w:val="24"/>
                <w:highlight w:val="yellow"/>
              </w:rPr>
              <w:t>合理最低价中标</w:t>
            </w:r>
            <w:r>
              <w:rPr>
                <w:rFonts w:hint="eastAsia" w:ascii="宋体" w:hAnsi="宋体" w:eastAsia="宋体" w:cs="宋体"/>
                <w:sz w:val="24"/>
                <w:szCs w:val="24"/>
              </w:rPr>
              <w:t>。具体详见“第二部分投标须知第六条：评标原则”。</w:t>
            </w:r>
          </w:p>
        </w:tc>
      </w:tr>
      <w:tr w14:paraId="4AE7D3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A666220">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474C61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9F347F4">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54F8CA3D">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1357ED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C39A1AC">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659376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45F0E0BC">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6EC7B3D5">
            <w:pPr>
              <w:pStyle w:val="2"/>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31B72093">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自合同签定后，招标放通知之日起，</w:t>
            </w:r>
            <w:r>
              <w:rPr>
                <w:rFonts w:hint="eastAsia" w:hAnsi="宋体" w:eastAsia="宋体" w:cs="宋体"/>
                <w:color w:val="000000"/>
                <w:sz w:val="24"/>
                <w:szCs w:val="24"/>
                <w:highlight w:val="yellow"/>
              </w:rPr>
              <w:t>20个日历日</w:t>
            </w:r>
            <w:r>
              <w:rPr>
                <w:rFonts w:hint="eastAsia" w:hAnsi="宋体" w:eastAsia="宋体" w:cs="宋体"/>
                <w:color w:val="000000"/>
                <w:sz w:val="24"/>
                <w:szCs w:val="24"/>
              </w:rPr>
              <w:t>之内交货至供货地点。</w:t>
            </w:r>
          </w:p>
          <w:p w14:paraId="39A98BE1">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Ansi="宋体" w:eastAsia="宋体" w:cs="宋体"/>
                <w:color w:val="000000"/>
                <w:sz w:val="24"/>
                <w:szCs w:val="24"/>
                <w:highlight w:val="yellow"/>
              </w:rPr>
              <w:t>60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w:t>
            </w:r>
          </w:p>
          <w:p w14:paraId="48A2931C">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rPr>
              <w:t>30个日历日</w:t>
            </w:r>
            <w:r>
              <w:rPr>
                <w:rFonts w:hint="eastAsia" w:hAnsi="宋体" w:eastAsia="宋体" w:cs="宋体"/>
                <w:color w:val="000000"/>
                <w:sz w:val="24"/>
                <w:szCs w:val="24"/>
              </w:rPr>
              <w:t>之内完成验收。</w:t>
            </w:r>
          </w:p>
          <w:p w14:paraId="2D898B9F">
            <w:pPr>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rPr>
              <w:t>规定时间</w:t>
            </w:r>
            <w:r>
              <w:rPr>
                <w:rFonts w:hint="eastAsia" w:hAnsi="宋体" w:eastAsia="宋体" w:cs="宋体"/>
                <w:color w:val="000000"/>
                <w:sz w:val="24"/>
                <w:szCs w:val="24"/>
              </w:rPr>
              <w:t>的，投标人应当随标书提供详细的工期计划。</w:t>
            </w:r>
          </w:p>
        </w:tc>
      </w:tr>
      <w:tr w14:paraId="1BCF3E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FEBEE93">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61863091">
            <w:pPr>
              <w:pStyle w:val="2"/>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1FA19C57">
            <w:pPr>
              <w:widowControl/>
              <w:ind w:firstLine="482" w:firstLineChars="200"/>
              <w:jc w:val="left"/>
              <w:rPr>
                <w:rFonts w:hAnsi="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highlight w:val="yellow"/>
              </w:rPr>
              <w:t>济南市莱芜区产品试验检测中心</w:t>
            </w:r>
            <w:r>
              <w:rPr>
                <w:rFonts w:hint="eastAsia" w:hAnsi="宋体" w:eastAsia="宋体" w:cs="宋体"/>
                <w:color w:val="000000"/>
                <w:sz w:val="24"/>
                <w:szCs w:val="24"/>
              </w:rPr>
              <w:t>。</w:t>
            </w:r>
          </w:p>
        </w:tc>
      </w:tr>
      <w:tr w14:paraId="219FE2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3975D3E">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1DF64B75">
            <w:pPr>
              <w:pStyle w:val="17"/>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63C4C0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065BD6B7">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72081A5A">
            <w:pPr>
              <w:pStyle w:val="2"/>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4FEA0E14">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（1）合同生效设备全部到齐无质量问题通过买方初步验收后, 卖方提交金额为合同含税价款</w:t>
            </w:r>
            <w:r>
              <w:rPr>
                <w:rFonts w:hint="eastAsia" w:ascii="宋体" w:hAnsi="宋体" w:eastAsia="宋体" w:cs="宋体"/>
                <w:b/>
                <w:bCs/>
                <w:color w:val="000000"/>
                <w:sz w:val="24"/>
                <w:szCs w:val="24"/>
                <w:highlight w:val="yellow"/>
              </w:rPr>
              <w:t>30%</w:t>
            </w:r>
            <w:r>
              <w:rPr>
                <w:rFonts w:hint="eastAsia" w:ascii="宋体" w:hAnsi="宋体" w:eastAsia="宋体" w:cs="宋体"/>
                <w:color w:val="000000"/>
                <w:sz w:val="24"/>
                <w:szCs w:val="24"/>
                <w:highlight w:val="yellow"/>
              </w:rPr>
              <w:t>的收据及合同全额30%增值税专用发票（税率为13 %，正本一份，复印件二份），经买方依照财务制度审核无误后【30】日后支付。</w:t>
            </w:r>
          </w:p>
          <w:p w14:paraId="683F6A70">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（2）设备全部到齐无质量问题，经安装、调试最终验收合格后，卖方提交金额为合同含税价款</w:t>
            </w:r>
            <w:r>
              <w:rPr>
                <w:rFonts w:hint="eastAsia" w:ascii="宋体" w:hAnsi="宋体" w:eastAsia="宋体" w:cs="宋体"/>
                <w:b/>
                <w:bCs/>
                <w:color w:val="000000"/>
                <w:sz w:val="24"/>
                <w:szCs w:val="24"/>
                <w:highlight w:val="yellow"/>
              </w:rPr>
              <w:t>60 %</w:t>
            </w:r>
            <w:r>
              <w:rPr>
                <w:rFonts w:hint="eastAsia" w:ascii="宋体" w:hAnsi="宋体" w:eastAsia="宋体" w:cs="宋体"/>
                <w:color w:val="000000"/>
                <w:sz w:val="24"/>
                <w:szCs w:val="24"/>
                <w:highlight w:val="yellow"/>
              </w:rPr>
              <w:t>的收据及合同全额70%增值税专用发票（税率为13 %，正本一份，复印件二份）并附带该套合同设备最终验收报告的原件及其复印件两份，经买方依照财务制度审核无误后【30】日后支付。</w:t>
            </w:r>
          </w:p>
          <w:p w14:paraId="5E801001">
            <w:pPr>
              <w:ind w:firstLine="480" w:firstLineChars="200"/>
              <w:rPr>
                <w:rFonts w:ascii="宋体" w:hAnsi="宋体" w:eastAsia="宋体" w:cs="宋体"/>
                <w:sz w:val="24"/>
                <w:szCs w:val="24"/>
              </w:rPr>
            </w:pPr>
            <w:r>
              <w:rPr>
                <w:rFonts w:hint="eastAsia" w:ascii="宋体" w:hAnsi="宋体" w:eastAsia="宋体" w:cs="宋体"/>
                <w:color w:val="000000"/>
                <w:sz w:val="24"/>
                <w:szCs w:val="24"/>
                <w:highlight w:val="yellow"/>
              </w:rPr>
              <w:t>（3）合同含税总价款的</w:t>
            </w:r>
            <w:r>
              <w:rPr>
                <w:rFonts w:hint="eastAsia" w:ascii="宋体" w:hAnsi="宋体" w:eastAsia="宋体" w:cs="宋体"/>
                <w:b/>
                <w:bCs/>
                <w:color w:val="000000"/>
                <w:sz w:val="24"/>
                <w:szCs w:val="24"/>
                <w:highlight w:val="yellow"/>
              </w:rPr>
              <w:t xml:space="preserve"> 10 %</w:t>
            </w:r>
            <w:r>
              <w:rPr>
                <w:rFonts w:hint="eastAsia" w:ascii="宋体" w:hAnsi="宋体" w:eastAsia="宋体" w:cs="宋体"/>
                <w:color w:val="000000"/>
                <w:sz w:val="24"/>
                <w:szCs w:val="24"/>
                <w:highlight w:val="yellow"/>
              </w:rPr>
              <w:t>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tc>
      </w:tr>
      <w:tr w14:paraId="07669F8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295B77D0">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507C1C64">
            <w:pPr>
              <w:ind w:firstLine="482" w:firstLineChars="200"/>
              <w:rPr>
                <w:rFonts w:ascii="宋体" w:hAnsi="宋体" w:eastAsia="宋体" w:cs="宋体"/>
                <w:b/>
                <w:color w:val="000000"/>
                <w:sz w:val="24"/>
                <w:szCs w:val="24"/>
                <w:highlight w:val="yellow"/>
              </w:rPr>
            </w:pPr>
            <w:r>
              <w:rPr>
                <w:rFonts w:hint="eastAsia" w:ascii="宋体" w:hAnsi="宋体" w:eastAsia="宋体" w:cs="宋体"/>
                <w:b/>
                <w:color w:val="000000"/>
                <w:sz w:val="24"/>
                <w:szCs w:val="24"/>
                <w:highlight w:val="yellow"/>
              </w:rPr>
              <w:t>增值税专用发票开票信息：</w:t>
            </w:r>
          </w:p>
          <w:p w14:paraId="1A1F8102">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名称：中国重汽集团济南动力有限公司</w:t>
            </w:r>
          </w:p>
          <w:p w14:paraId="36CBF138">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地址：章丘市圣井唐王山路北潘王路西</w:t>
            </w:r>
          </w:p>
          <w:p w14:paraId="27A0A939">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纳税人识别号：91370100787411873C</w:t>
            </w:r>
          </w:p>
          <w:p w14:paraId="74AFB654">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开户行：中国银行章丘支行</w:t>
            </w:r>
          </w:p>
          <w:p w14:paraId="58A73BC3">
            <w:pPr>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电话：0531-58062198</w:t>
            </w:r>
          </w:p>
          <w:p w14:paraId="499B92F3">
            <w:pPr>
              <w:ind w:firstLine="480" w:firstLineChars="200"/>
              <w:rPr>
                <w:rFonts w:ascii="宋体" w:hAnsi="宋体" w:cs="宋体"/>
                <w:bCs/>
                <w:sz w:val="24"/>
                <w:szCs w:val="24"/>
              </w:rPr>
            </w:pPr>
            <w:r>
              <w:rPr>
                <w:rFonts w:hint="eastAsia" w:ascii="宋体" w:hAnsi="宋体" w:eastAsia="宋体" w:cs="宋体"/>
                <w:color w:val="000000"/>
                <w:sz w:val="24"/>
                <w:szCs w:val="24"/>
                <w:highlight w:val="yellow"/>
              </w:rPr>
              <w:t>账号：2377 0557 4474</w:t>
            </w:r>
          </w:p>
        </w:tc>
      </w:tr>
      <w:tr w14:paraId="0ECA19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1FC3DE0">
            <w:pPr>
              <w:pStyle w:val="17"/>
              <w:jc w:val="center"/>
              <w:rPr>
                <w:rFonts w:ascii="宋体" w:hAnsi="宋体" w:eastAsia="宋体" w:cs="宋体"/>
                <w:sz w:val="24"/>
                <w:szCs w:val="24"/>
              </w:rPr>
            </w:pPr>
            <w:r>
              <w:rPr>
                <w:rFonts w:hint="eastAsia" w:ascii="宋体" w:hAnsi="宋体" w:eastAsia="宋体" w:cs="宋体"/>
                <w:b/>
                <w:bCs/>
                <w:sz w:val="24"/>
                <w:szCs w:val="24"/>
              </w:rPr>
              <w:t>8.其它</w:t>
            </w:r>
          </w:p>
        </w:tc>
      </w:tr>
      <w:tr w14:paraId="73D5E99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56A7087">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02FA096">
            <w:pPr>
              <w:pStyle w:val="17"/>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D89DE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1B3F181">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12872E4E">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1BE9F1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5CD6742">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6FA4B94B">
            <w:pPr>
              <w:pStyle w:val="17"/>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ascii="宋体" w:hAnsi="宋体" w:eastAsia="宋体" w:cs="宋体"/>
                <w:sz w:val="24"/>
                <w:szCs w:val="24"/>
              </w:rPr>
              <w:t>30</w:t>
            </w:r>
            <w:r>
              <w:rPr>
                <w:rFonts w:hint="eastAsia" w:ascii="宋体" w:hAnsi="宋体" w:eastAsia="宋体" w:cs="宋体"/>
                <w:sz w:val="24"/>
                <w:szCs w:val="24"/>
              </w:rPr>
              <w:t>日内需根据设计</w:t>
            </w:r>
            <w:r>
              <w:rPr>
                <w:rStyle w:val="51"/>
                <w:rFonts w:hint="eastAsia" w:ascii="宋体" w:hAnsi="宋体" w:eastAsia="宋体" w:cs="宋体"/>
                <w:sz w:val="24"/>
                <w:szCs w:val="24"/>
              </w:rPr>
              <w:t>提资</w:t>
            </w:r>
            <w:r>
              <w:rPr>
                <w:rFonts w:hint="eastAsia" w:ascii="宋体" w:hAnsi="宋体" w:eastAsia="宋体" w:cs="宋体"/>
                <w:sz w:val="24"/>
                <w:szCs w:val="24"/>
              </w:rPr>
              <w:t>要求提供详细的</w:t>
            </w:r>
            <w:r>
              <w:rPr>
                <w:rStyle w:val="51"/>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51"/>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51"/>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5B206C57">
      <w:pPr>
        <w:pStyle w:val="2"/>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第二部分 投标须知</w:t>
      </w:r>
      <w:bookmarkEnd w:id="4"/>
    </w:p>
    <w:p w14:paraId="658CD67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18537ABB">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14:paraId="36BA8625">
      <w:pPr>
        <w:keepNext/>
        <w:keepLines/>
        <w:numPr>
          <w:ilvl w:val="0"/>
          <w:numId w:val="9"/>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36B8B8EF">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0C0B5D68">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1B382DA9">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01DBB0C3">
      <w:pPr>
        <w:keepNext/>
        <w:keepLines/>
        <w:numPr>
          <w:ilvl w:val="0"/>
          <w:numId w:val="9"/>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23786EDF">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40D89457">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3A51104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66DEAF7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14:paraId="6B94342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56B692D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2E72E15A">
      <w:pPr>
        <w:keepNext/>
        <w:keepLines/>
        <w:numPr>
          <w:ilvl w:val="0"/>
          <w:numId w:val="10"/>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5DAB616F">
      <w:pPr>
        <w:pStyle w:val="2"/>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63284ED3">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F2F89ED">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0673D685">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12FBA3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14:paraId="73423CFB">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3AF255B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369EBF5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60BEE6E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2CCD25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5CF2FDE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E7FED11">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19873549">
      <w:pPr>
        <w:pStyle w:val="2"/>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rPr>
        <w:t>4.7</w:t>
      </w:r>
      <w:r>
        <w:rPr>
          <w:rFonts w:hint="eastAsia" w:hAnsi="宋体" w:eastAsia="宋体" w:cs="宋体"/>
          <w:color w:val="000000"/>
          <w:sz w:val="24"/>
          <w:szCs w:val="24"/>
          <w:highlight w:val="yellow"/>
        </w:rPr>
        <w:t>设备设施颜色严格执行我公司企业标准《设备设施颜色标识》（Q/ZZ30070</w:t>
      </w:r>
    </w:p>
    <w:p w14:paraId="1B5E5F7E">
      <w:pPr>
        <w:pStyle w:val="2"/>
        <w:spacing w:line="360" w:lineRule="auto"/>
        <w:rPr>
          <w:rFonts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14:paraId="09D7EB2F">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3EAB3D5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6A837A5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231163A6">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14C067E0">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37ADC924">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38A84A6F">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43C6245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7E506EA8">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中国重汽官网</w:t>
      </w:r>
      <w:r>
        <w:rPr>
          <w:rFonts w:hint="eastAsia" w:ascii="宋体" w:hAnsi="宋体" w:eastAsia="宋体" w:cs="宋体"/>
          <w:color w:val="000000"/>
          <w:sz w:val="24"/>
          <w:szCs w:val="24"/>
        </w:rPr>
        <w:t>。</w:t>
      </w:r>
    </w:p>
    <w:p w14:paraId="24D5CC5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005A3B4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见《投标须知前附表》第二条，逾期不受理。</w:t>
      </w:r>
    </w:p>
    <w:p w14:paraId="66D9247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1A72A522">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14:paraId="4908F161">
      <w:pPr>
        <w:pStyle w:val="121"/>
        <w:ind w:firstLine="480"/>
        <w:rPr>
          <w:rFonts w:eastAsia="宋体" w:cs="宋体"/>
        </w:rPr>
      </w:pPr>
      <w:r>
        <w:rPr>
          <w:rFonts w:hint="eastAsia" w:eastAsia="宋体" w:cs="宋体"/>
        </w:rPr>
        <w:t>4.2招标人银行账户信息如下：见《投标须知前附表》4.2。</w:t>
      </w:r>
    </w:p>
    <w:p w14:paraId="7AC507D7">
      <w:pPr>
        <w:pStyle w:val="121"/>
        <w:ind w:firstLine="480"/>
        <w:rPr>
          <w:rFonts w:eastAsia="宋体" w:cs="宋体"/>
        </w:rPr>
      </w:pPr>
      <w:r>
        <w:rPr>
          <w:rFonts w:hint="eastAsia" w:eastAsia="宋体" w:cs="宋体"/>
        </w:rPr>
        <w:t>转账附言：公司名称+项目名称+投标保证金；</w:t>
      </w:r>
    </w:p>
    <w:p w14:paraId="44D5DB26">
      <w:pPr>
        <w:pStyle w:val="121"/>
        <w:ind w:firstLine="480"/>
        <w:rPr>
          <w:rFonts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14:paraId="758D8D33">
      <w:pPr>
        <w:pStyle w:val="121"/>
        <w:ind w:firstLine="480"/>
        <w:rPr>
          <w:rFonts w:eastAsia="宋体" w:cs="宋体"/>
        </w:rPr>
      </w:pPr>
      <w:r>
        <w:rPr>
          <w:rFonts w:hint="eastAsia" w:eastAsia="宋体" w:cs="宋体"/>
        </w:rPr>
        <w:t>4.3说明</w:t>
      </w:r>
    </w:p>
    <w:p w14:paraId="529A9926">
      <w:pPr>
        <w:pStyle w:val="121"/>
        <w:ind w:firstLine="480"/>
        <w:rPr>
          <w:rFonts w:eastAsia="宋体" w:cs="宋体"/>
        </w:rPr>
      </w:pPr>
      <w:r>
        <w:rPr>
          <w:rFonts w:hint="eastAsia" w:eastAsia="宋体" w:cs="宋体"/>
        </w:rPr>
        <w:t>4.3.1 投标人在向招标人出示《投标保证金缴纳凭证》后方可进行投标；</w:t>
      </w:r>
    </w:p>
    <w:p w14:paraId="5AE6F8B5">
      <w:pPr>
        <w:pStyle w:val="121"/>
        <w:ind w:firstLine="480"/>
        <w:rPr>
          <w:rFonts w:eastAsia="宋体" w:cs="宋体"/>
        </w:rPr>
      </w:pPr>
      <w:r>
        <w:rPr>
          <w:rFonts w:hint="eastAsia" w:eastAsia="宋体" w:cs="宋体"/>
        </w:rPr>
        <w:t>4.3.2 发生以下情况时，招标人有权没收保证金：</w:t>
      </w:r>
    </w:p>
    <w:p w14:paraId="1F52C2EE">
      <w:pPr>
        <w:pStyle w:val="121"/>
        <w:ind w:firstLine="480"/>
        <w:rPr>
          <w:rFonts w:eastAsia="宋体" w:cs="宋体"/>
        </w:rPr>
      </w:pPr>
      <w:r>
        <w:rPr>
          <w:rFonts w:hint="eastAsia" w:eastAsia="宋体" w:cs="宋体"/>
        </w:rPr>
        <w:t>4.3.2.1 截至开标前3天，投标人无正当理由且未以书面形式递交说明而在投标截止日不来投标的；</w:t>
      </w:r>
    </w:p>
    <w:p w14:paraId="767E112F">
      <w:pPr>
        <w:pStyle w:val="121"/>
        <w:ind w:firstLine="480"/>
        <w:rPr>
          <w:rFonts w:eastAsia="宋体" w:cs="宋体"/>
        </w:rPr>
      </w:pPr>
      <w:r>
        <w:rPr>
          <w:rFonts w:hint="eastAsia" w:eastAsia="宋体" w:cs="宋体"/>
        </w:rPr>
        <w:t>4.3.2.2 投标人递送投标文件后，无正当理由放弃投标的；</w:t>
      </w:r>
    </w:p>
    <w:p w14:paraId="56658863">
      <w:pPr>
        <w:pStyle w:val="121"/>
        <w:ind w:firstLine="480"/>
        <w:rPr>
          <w:rFonts w:eastAsia="宋体" w:cs="宋体"/>
        </w:rPr>
      </w:pPr>
      <w:r>
        <w:rPr>
          <w:rFonts w:hint="eastAsia" w:eastAsia="宋体" w:cs="宋体"/>
        </w:rPr>
        <w:t>4.3.2.3若为视频开标，招标过程中澄清函等资料原件未按要求提交的；</w:t>
      </w:r>
    </w:p>
    <w:p w14:paraId="5D0C2285">
      <w:pPr>
        <w:pStyle w:val="121"/>
        <w:ind w:firstLine="480"/>
        <w:rPr>
          <w:rFonts w:eastAsia="宋体" w:cs="宋体"/>
        </w:rPr>
      </w:pPr>
      <w:r>
        <w:rPr>
          <w:rFonts w:hint="eastAsia" w:eastAsia="宋体" w:cs="宋体"/>
        </w:rPr>
        <w:t>4.3.2.4自中标通知书发出之日起30日内，中标人无正当理由不签订合同的；</w:t>
      </w:r>
    </w:p>
    <w:p w14:paraId="6F148C37">
      <w:pPr>
        <w:pStyle w:val="121"/>
        <w:ind w:firstLine="480"/>
        <w:rPr>
          <w:rFonts w:eastAsia="宋体" w:cs="宋体"/>
        </w:rPr>
      </w:pPr>
      <w:r>
        <w:rPr>
          <w:rFonts w:hint="eastAsia" w:eastAsia="宋体" w:cs="宋体"/>
        </w:rPr>
        <w:t>4.3.2.5投标人在投标过程中被查实有串标、围标、陪标等违规违纪行为的；</w:t>
      </w:r>
    </w:p>
    <w:p w14:paraId="0CE518B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1F0882A3">
      <w:pPr>
        <w:pStyle w:val="121"/>
        <w:ind w:firstLine="480"/>
        <w:rPr>
          <w:rFonts w:eastAsia="宋体" w:cs="宋体"/>
        </w:rPr>
      </w:pPr>
      <w:r>
        <w:rPr>
          <w:rFonts w:hint="eastAsia" w:eastAsia="宋体" w:cs="宋体"/>
        </w:rPr>
        <w:t>4.4投标报名截止时间</w:t>
      </w:r>
    </w:p>
    <w:p w14:paraId="223B35FF">
      <w:pPr>
        <w:pStyle w:val="121"/>
        <w:ind w:firstLine="480"/>
        <w:rPr>
          <w:rFonts w:eastAsia="宋体" w:cs="宋体"/>
        </w:rPr>
      </w:pPr>
      <w:r>
        <w:rPr>
          <w:rFonts w:hint="eastAsia" w:eastAsia="宋体" w:cs="宋体"/>
        </w:rPr>
        <w:t>报名方式：</w:t>
      </w:r>
      <w:r>
        <w:rPr>
          <w:rFonts w:hint="eastAsia" w:eastAsia="宋体" w:cs="宋体"/>
          <w:highlight w:val="yellow"/>
        </w:rPr>
        <w:t>见《投标须知前附表》2.3。</w:t>
      </w:r>
    </w:p>
    <w:p w14:paraId="61BD2A58">
      <w:pPr>
        <w:pStyle w:val="121"/>
        <w:ind w:firstLine="480"/>
        <w:rPr>
          <w:rFonts w:eastAsia="宋体" w:cs="宋体"/>
        </w:rPr>
      </w:pPr>
      <w:r>
        <w:rPr>
          <w:rFonts w:hint="eastAsia" w:eastAsia="宋体" w:cs="宋体"/>
        </w:rPr>
        <w:t>报名提交资料：均为盖章电子扫描版，用“公司名称+文件名称”命名。</w:t>
      </w:r>
    </w:p>
    <w:p w14:paraId="6CBBE2A6">
      <w:pPr>
        <w:numPr>
          <w:ilvl w:val="0"/>
          <w:numId w:val="11"/>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4DE15DFF">
      <w:pPr>
        <w:numPr>
          <w:ilvl w:val="0"/>
          <w:numId w:val="11"/>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8E03087">
      <w:pPr>
        <w:numPr>
          <w:ilvl w:val="0"/>
          <w:numId w:val="11"/>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5A35CFD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0465D3C9">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14:paraId="21EC279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270FA3AA">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14:paraId="2E773BC0">
      <w:pPr>
        <w:spacing w:line="360" w:lineRule="auto"/>
        <w:jc w:val="left"/>
        <w:outlineLvl w:val="1"/>
        <w:rPr>
          <w:rFonts w:ascii="宋体" w:hAnsi="宋体" w:eastAsia="宋体" w:cs="宋体"/>
          <w:b/>
          <w:sz w:val="24"/>
          <w:szCs w:val="24"/>
        </w:rPr>
      </w:pPr>
      <w:bookmarkStart w:id="6" w:name="_Toc33266627"/>
      <w:bookmarkStart w:id="7" w:name="_Toc33266914"/>
      <w:bookmarkStart w:id="8" w:name="_Toc33267001"/>
      <w:bookmarkStart w:id="9" w:name="_Toc33266950"/>
      <w:bookmarkStart w:id="10" w:name="_Toc33285487"/>
      <w:bookmarkStart w:id="11" w:name="_Toc33265653"/>
      <w:bookmarkStart w:id="12" w:name="_Toc33265752"/>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14:paraId="23F555E8">
      <w:p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7E8C2AA8">
      <w:pPr>
        <w:adjustRightInd w:val="0"/>
        <w:snapToGrid w:val="0"/>
        <w:spacing w:line="360" w:lineRule="auto"/>
        <w:ind w:firstLine="480" w:firstLineChars="200"/>
        <w:rPr>
          <w:rFonts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rPr>
        <w:t>合理最低价中标</w:t>
      </w:r>
      <w:bookmarkStart w:id="14" w:name="_Toc33265753"/>
      <w:bookmarkStart w:id="15" w:name="_Toc33267002"/>
      <w:bookmarkStart w:id="16" w:name="_Toc33285489"/>
      <w:bookmarkStart w:id="17" w:name="_Toc33266915"/>
      <w:bookmarkStart w:id="18" w:name="_Toc33266628"/>
      <w:bookmarkStart w:id="19" w:name="_Toc395116634"/>
      <w:bookmarkStart w:id="20" w:name="_Toc33266951"/>
      <w:bookmarkStart w:id="21" w:name="_Toc33265654"/>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1191EA69">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14:paraId="4AA254D6">
      <w:pPr>
        <w:pStyle w:val="2"/>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14:paraId="76164308">
      <w:pPr>
        <w:numPr>
          <w:ilvl w:val="0"/>
          <w:numId w:val="12"/>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按照第三部分第三条投标文件组成资格证明文件中的1.1-1.13准备资料，上传完毕后，等待审核</w:t>
      </w:r>
      <w:r>
        <w:rPr>
          <w:rFonts w:hint="eastAsia" w:ascii="宋体" w:hAnsi="宋体" w:eastAsia="宋体" w:cs="宋体"/>
          <w:b/>
          <w:color w:val="000000"/>
          <w:sz w:val="24"/>
          <w:szCs w:val="24"/>
        </w:rPr>
        <w:t>；</w:t>
      </w:r>
    </w:p>
    <w:p w14:paraId="0F0EB0A0">
      <w:pPr>
        <w:numPr>
          <w:ilvl w:val="0"/>
          <w:numId w:val="13"/>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14:paraId="4D6CBB13">
      <w:pPr>
        <w:numPr>
          <w:ilvl w:val="0"/>
          <w:numId w:val="12"/>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7F77C243">
      <w:pPr>
        <w:numPr>
          <w:ilvl w:val="0"/>
          <w:numId w:val="14"/>
        </w:numPr>
        <w:spacing w:line="360" w:lineRule="auto"/>
        <w:rPr>
          <w:rFonts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14:paraId="3425277C">
      <w:pPr>
        <w:numPr>
          <w:ilvl w:val="0"/>
          <w:numId w:val="14"/>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rPr>
        <w:t>技术标评分标准见附件14；</w:t>
      </w:r>
    </w:p>
    <w:p w14:paraId="6CA4141D">
      <w:pPr>
        <w:numPr>
          <w:ilvl w:val="0"/>
          <w:numId w:val="15"/>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09D3A5F8">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14:paraId="2A0C8E35">
      <w:pPr>
        <w:numPr>
          <w:ilvl w:val="0"/>
          <w:numId w:val="16"/>
        </w:numPr>
        <w:spacing w:line="360" w:lineRule="auto"/>
        <w:rPr>
          <w:rFonts w:ascii="宋体" w:hAnsi="宋体" w:eastAsia="宋体" w:cs="宋体"/>
          <w:b/>
          <w:sz w:val="24"/>
          <w:szCs w:val="24"/>
        </w:rPr>
      </w:pPr>
      <w:r>
        <w:rPr>
          <w:rFonts w:hint="eastAsia" w:ascii="宋体" w:hAnsi="宋体" w:eastAsia="宋体" w:cs="宋体"/>
          <w:b/>
          <w:sz w:val="24"/>
          <w:szCs w:val="24"/>
        </w:rPr>
        <w:t>中标人确定：技术标入围后，原则上</w:t>
      </w:r>
      <w:r>
        <w:rPr>
          <w:rFonts w:hint="eastAsia" w:ascii="宋体" w:hAnsi="宋体" w:eastAsia="宋体" w:cs="宋体"/>
          <w:b/>
          <w:bCs/>
          <w:sz w:val="24"/>
          <w:szCs w:val="24"/>
        </w:rPr>
        <w:t>合理最低价</w:t>
      </w:r>
      <w:r>
        <w:rPr>
          <w:rFonts w:hint="eastAsia" w:ascii="宋体" w:hAnsi="宋体" w:eastAsia="宋体" w:cs="宋体"/>
          <w:b/>
          <w:sz w:val="24"/>
          <w:szCs w:val="24"/>
        </w:rPr>
        <w:t>中标。</w:t>
      </w:r>
    </w:p>
    <w:p w14:paraId="4F52923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68C4FBC1">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57B0E1F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5F8951F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8C424A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41186612">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6002F0CF">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2A1D05F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3950231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6618985">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74F4FD7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0C4DD1EA">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44209A16">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6C96228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9D6FA06">
      <w:pPr>
        <w:pStyle w:val="2"/>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47737FF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000DBD86">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00A4AC86">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7D313C8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16B7459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850775A">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7E96DB26">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14F93A44">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（14）投标人报价均超过投标限价的；</w:t>
      </w:r>
    </w:p>
    <w:p w14:paraId="5BA20108">
      <w:pPr>
        <w:spacing w:line="360" w:lineRule="auto"/>
        <w:ind w:right="2" w:firstLine="480" w:firstLineChars="200"/>
      </w:pPr>
      <w:r>
        <w:rPr>
          <w:rFonts w:hint="eastAsia" w:ascii="宋体" w:hAnsi="宋体" w:eastAsia="宋体" w:cs="宋体"/>
          <w:color w:val="000000"/>
          <w:sz w:val="24"/>
          <w:szCs w:val="24"/>
        </w:rPr>
        <w:t>（15）法律、法规规定的其他情况。</w:t>
      </w:r>
    </w:p>
    <w:p w14:paraId="0FD15F19">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24F9381E">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01B4D501">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23A0FBD2">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329426D8">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8"/>
      <w:bookmarkStart w:id="24" w:name="OLE_LINK26"/>
      <w:bookmarkStart w:id="25" w:name="OLE_LINK29"/>
      <w:bookmarkStart w:id="26" w:name="OLE_LINK25"/>
      <w:r>
        <w:rPr>
          <w:rFonts w:hint="eastAsia" w:ascii="宋体" w:hAnsi="宋体" w:eastAsia="宋体" w:cs="宋体"/>
          <w:bCs/>
          <w:sz w:val="24"/>
          <w:szCs w:val="24"/>
        </w:rPr>
        <w:t>；</w:t>
      </w:r>
      <w:bookmarkEnd w:id="22"/>
      <w:bookmarkEnd w:id="23"/>
      <w:bookmarkEnd w:id="24"/>
      <w:bookmarkEnd w:id="25"/>
      <w:bookmarkEnd w:id="26"/>
    </w:p>
    <w:p w14:paraId="18953689">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2DB97285">
      <w:pPr>
        <w:pStyle w:val="2"/>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76C101F6">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C32DB8A">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63C370BD">
      <w:pPr>
        <w:pStyle w:val="2"/>
        <w:spacing w:line="360" w:lineRule="auto"/>
        <w:jc w:val="center"/>
        <w:rPr>
          <w:rFonts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6B021814">
      <w:pPr>
        <w:pStyle w:val="2"/>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14:paraId="0B24DF4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4E32BC2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AB935C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90333B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28A2CD1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328E91D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6E1F85F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2BC2A8B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73061FC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27EA57CF">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537E696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54554713">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6BC223D3">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3921D00C">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6483A5E2">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4A72A7C3">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56EF8C58">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3818521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2E00160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68B5E89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21DF2840">
      <w:pPr>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7B1A3F6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7ED6F72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10384B7E">
      <w:pPr>
        <w:spacing w:line="360" w:lineRule="auto"/>
        <w:ind w:firstLine="480" w:firstLineChars="200"/>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78E0ADC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79451A1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1.9代理商投标要携带生产商的授权书、原厂售后服务承诺书，根据实际情况提供即可，无格式限制</w:t>
      </w:r>
      <w:r>
        <w:rPr>
          <w:rFonts w:hint="eastAsia" w:hAnsi="宋体" w:eastAsia="宋体" w:cs="宋体"/>
          <w:sz w:val="24"/>
          <w:szCs w:val="24"/>
        </w:rPr>
        <w:t>（</w:t>
      </w:r>
      <w:r>
        <w:rPr>
          <w:rFonts w:hint="eastAsia" w:hAnsi="宋体" w:eastAsia="宋体" w:cs="宋体"/>
          <w:sz w:val="24"/>
          <w:szCs w:val="24"/>
          <w:highlight w:val="yellow"/>
        </w:rPr>
        <w:t>包括所代理品牌的针对本项目的唯一授权书</w:t>
      </w:r>
      <w:r>
        <w:rPr>
          <w:rFonts w:hint="eastAsia" w:hAnsi="宋体" w:eastAsia="宋体" w:cs="宋体"/>
          <w:sz w:val="24"/>
          <w:szCs w:val="24"/>
        </w:rPr>
        <w:t>）</w:t>
      </w:r>
      <w:r>
        <w:rPr>
          <w:rFonts w:hint="eastAsia" w:ascii="宋体" w:hAnsi="宋体" w:eastAsia="宋体" w:cs="宋体"/>
          <w:color w:val="000000"/>
          <w:sz w:val="24"/>
          <w:szCs w:val="24"/>
        </w:rPr>
        <w:t>；</w:t>
      </w:r>
    </w:p>
    <w:p w14:paraId="3D7AFC5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5834D7A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61AB3C7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1.12 2021年1月1日至今，企业近三年同类项目业绩证明，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4C349F6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14:paraId="7707D2B6">
      <w:pPr>
        <w:spacing w:line="360" w:lineRule="auto"/>
        <w:ind w:firstLine="482" w:firstLineChars="200"/>
        <w:rPr>
          <w:rFonts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14:paraId="478D2DFF">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14:paraId="51E19087">
      <w:pPr>
        <w:spacing w:line="360" w:lineRule="auto"/>
        <w:ind w:firstLine="480" w:firstLineChars="200"/>
        <w:rPr>
          <w:rFonts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设备分项配置表（附件5-2），列明项目设备分项配置规格型号、品牌等信息（要求分项明细与附表9-1完全对应），但</w:t>
      </w:r>
      <w:r>
        <w:rPr>
          <w:rFonts w:hint="eastAsia" w:ascii="宋体" w:hAnsi="宋体" w:eastAsia="宋体" w:cs="宋体"/>
          <w:b/>
          <w:color w:val="000000"/>
          <w:sz w:val="24"/>
          <w:szCs w:val="24"/>
          <w:highlight w:val="yellow"/>
        </w:rPr>
        <w:t>注意：</w:t>
      </w:r>
      <w:r>
        <w:rPr>
          <w:rFonts w:hint="eastAsia" w:hAnsi="宋体" w:eastAsia="宋体" w:cs="宋体"/>
          <w:b/>
          <w:color w:val="000000"/>
          <w:sz w:val="24"/>
          <w:szCs w:val="24"/>
          <w:highlight w:val="yellow"/>
        </w:rPr>
        <w:t>此表在技术标书中，禁止出现任何分项价格及项目总价；</w:t>
      </w:r>
    </w:p>
    <w:p w14:paraId="685A1984">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2.3提供2021年1月1日以来同类产品的制造销售业绩（用户名单、联系方式），并附合同复印件。该同类项目业绩一览表必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267BBB2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2.4供货期及保证措施；</w:t>
      </w:r>
    </w:p>
    <w:p w14:paraId="3C3A64A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14:paraId="38AFA4C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2.6交货进度及计划；</w:t>
      </w:r>
    </w:p>
    <w:p w14:paraId="512F4410">
      <w:pPr>
        <w:spacing w:line="360" w:lineRule="auto"/>
        <w:ind w:firstLine="480" w:firstLineChars="200"/>
        <w:rPr>
          <w:rFonts w:ascii="宋体" w:hAnsi="宋体" w:eastAsia="宋体" w:cs="宋体"/>
          <w:color w:val="000000"/>
          <w:sz w:val="24"/>
          <w:szCs w:val="24"/>
        </w:rPr>
      </w:pPr>
      <w:bookmarkStart w:id="29" w:name="_Toc536542319"/>
      <w:r>
        <w:rPr>
          <w:rFonts w:hint="eastAsia" w:ascii="宋体" w:hAnsi="宋体" w:eastAsia="宋体" w:cs="宋体"/>
          <w:color w:val="000000"/>
          <w:sz w:val="24"/>
          <w:szCs w:val="24"/>
        </w:rPr>
        <w:t>2.7投标产品技术支持材料</w:t>
      </w:r>
      <w:bookmarkEnd w:id="29"/>
      <w:r>
        <w:rPr>
          <w:rFonts w:hint="eastAsia" w:ascii="宋体" w:hAnsi="宋体" w:eastAsia="宋体" w:cs="宋体"/>
          <w:color w:val="000000"/>
          <w:sz w:val="24"/>
          <w:szCs w:val="24"/>
        </w:rPr>
        <w:t>；</w:t>
      </w:r>
    </w:p>
    <w:p w14:paraId="43249B6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2.8设备质量承诺函（附件7）；</w:t>
      </w:r>
    </w:p>
    <w:p w14:paraId="3A85B50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14:paraId="0B340967">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0455579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2028734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71D1C97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5F842FB9">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39BE3474">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23F7A1D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231165F4">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40BC003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48CB362E">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123EF647">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5CE043B2">
      <w:pPr>
        <w:pStyle w:val="2"/>
      </w:pPr>
    </w:p>
    <w:p w14:paraId="78317429">
      <w:pPr>
        <w:spacing w:line="276" w:lineRule="auto"/>
        <w:jc w:val="center"/>
        <w:rPr>
          <w:rFonts w:ascii="Calibri" w:hAnsi="宋体" w:eastAsia="宋体" w:cs="Times New Roman"/>
          <w:b/>
          <w:bCs/>
          <w:color w:val="000000"/>
          <w:spacing w:val="-8"/>
          <w:sz w:val="48"/>
          <w:szCs w:val="44"/>
        </w:rPr>
      </w:pPr>
    </w:p>
    <w:p w14:paraId="0F20EC9D">
      <w:pPr>
        <w:spacing w:line="276" w:lineRule="auto"/>
        <w:jc w:val="center"/>
        <w:rPr>
          <w:rFonts w:ascii="Calibri" w:hAnsi="宋体" w:eastAsia="宋体" w:cs="Times New Roman"/>
          <w:b/>
          <w:bCs/>
          <w:color w:val="000000"/>
          <w:spacing w:val="-8"/>
          <w:sz w:val="48"/>
          <w:szCs w:val="44"/>
        </w:rPr>
      </w:pPr>
    </w:p>
    <w:p w14:paraId="1017E769">
      <w:pPr>
        <w:spacing w:line="276" w:lineRule="auto"/>
        <w:jc w:val="center"/>
        <w:rPr>
          <w:rFonts w:ascii="Calibri" w:hAnsi="宋体" w:eastAsia="宋体" w:cs="Times New Roman"/>
          <w:b/>
          <w:bCs/>
          <w:color w:val="000000"/>
          <w:spacing w:val="-8"/>
          <w:sz w:val="48"/>
          <w:szCs w:val="44"/>
        </w:rPr>
      </w:pPr>
    </w:p>
    <w:p w14:paraId="299F8C26">
      <w:pPr>
        <w:spacing w:line="276" w:lineRule="auto"/>
        <w:jc w:val="center"/>
        <w:rPr>
          <w:rFonts w:ascii="Calibri" w:hAnsi="宋体" w:eastAsia="宋体" w:cs="Times New Roman"/>
          <w:b/>
          <w:bCs/>
          <w:color w:val="000000"/>
          <w:spacing w:val="-8"/>
          <w:sz w:val="48"/>
          <w:szCs w:val="44"/>
        </w:rPr>
      </w:pPr>
    </w:p>
    <w:p w14:paraId="43C59746">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产品试验检测中心</w:t>
      </w:r>
      <w:bookmarkStart w:id="33" w:name="技术标"/>
      <w:bookmarkStart w:id="34" w:name="OLE_LINK2"/>
      <w:r>
        <w:rPr>
          <w:rFonts w:hint="eastAsia" w:ascii="Calibri" w:hAnsi="宋体" w:eastAsia="宋体" w:cs="Times New Roman"/>
          <w:b/>
          <w:bCs/>
          <w:color w:val="000000"/>
          <w:spacing w:val="-8"/>
          <w:sz w:val="48"/>
          <w:szCs w:val="44"/>
        </w:rPr>
        <w:t>气压脉冲试验台、座椅头枕强度试验台、多楔带试验台搬迁</w:t>
      </w:r>
      <w:bookmarkEnd w:id="33"/>
      <w:bookmarkEnd w:id="34"/>
      <w:r>
        <w:rPr>
          <w:rFonts w:hint="eastAsia" w:ascii="Calibri" w:hAnsi="宋体" w:eastAsia="宋体" w:cs="Times New Roman"/>
          <w:b/>
          <w:bCs/>
          <w:color w:val="000000"/>
          <w:spacing w:val="-8"/>
          <w:sz w:val="48"/>
          <w:szCs w:val="44"/>
        </w:rPr>
        <w:t>项目</w:t>
      </w:r>
    </w:p>
    <w:p w14:paraId="0EFB866E">
      <w:pPr>
        <w:jc w:val="right"/>
        <w:rPr>
          <w:rFonts w:ascii="Calibri" w:hAnsi="Calibri" w:eastAsia="宋体" w:cs="Times New Roman"/>
          <w:color w:val="000000"/>
          <w:sz w:val="28"/>
          <w:szCs w:val="28"/>
        </w:rPr>
      </w:pPr>
    </w:p>
    <w:p w14:paraId="7D753DDB">
      <w:pPr>
        <w:pStyle w:val="2"/>
      </w:pPr>
    </w:p>
    <w:p w14:paraId="5C153460">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3735FEFC">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23FAEB8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6DAC056C">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2AFBE8CE">
      <w:pPr>
        <w:pStyle w:val="2"/>
      </w:pPr>
    </w:p>
    <w:p w14:paraId="343D7667">
      <w:pPr>
        <w:pStyle w:val="2"/>
        <w:rPr>
          <w:rFonts w:ascii="黑体" w:hAnsi="宋体" w:eastAsia="黑体" w:cs="Times New Roman"/>
          <w:color w:val="000000"/>
          <w:sz w:val="72"/>
          <w:szCs w:val="72"/>
        </w:rPr>
      </w:pPr>
    </w:p>
    <w:p w14:paraId="2B864F1F">
      <w:pPr>
        <w:pStyle w:val="2"/>
        <w:rPr>
          <w:rFonts w:ascii="黑体" w:hAnsi="宋体" w:eastAsia="黑体" w:cs="Times New Roman"/>
          <w:color w:val="000000"/>
          <w:sz w:val="72"/>
          <w:szCs w:val="72"/>
        </w:rPr>
      </w:pPr>
    </w:p>
    <w:p w14:paraId="55E6D594">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468691A0">
      <w:pPr>
        <w:pStyle w:val="2"/>
        <w:rPr>
          <w:b/>
          <w:bCs/>
        </w:rPr>
      </w:pPr>
    </w:p>
    <w:p w14:paraId="3CCC6CAB">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541FDCF5">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11月</w:t>
      </w:r>
    </w:p>
    <w:p w14:paraId="2C15EFDA">
      <w:pPr>
        <w:spacing w:line="360" w:lineRule="auto"/>
        <w:rPr>
          <w:rFonts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14:paraId="3C08711F">
      <w:pPr>
        <w:pStyle w:val="3"/>
        <w:rPr>
          <w:lang w:val="zh-CN"/>
        </w:rPr>
      </w:pPr>
      <w:bookmarkStart w:id="35" w:name="_Toc200435293"/>
      <w:bookmarkStart w:id="36" w:name="_Toc142724994"/>
      <w:r>
        <w:rPr>
          <w:rFonts w:hint="eastAsia"/>
          <w:lang w:val="zh-CN"/>
        </w:rPr>
        <w:t xml:space="preserve"> 供货内容</w:t>
      </w:r>
      <w:bookmarkEnd w:id="35"/>
      <w:bookmarkEnd w:id="36"/>
    </w:p>
    <w:p w14:paraId="051CB113">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项目名称：</w:t>
      </w:r>
      <w:r>
        <w:rPr>
          <w:rFonts w:hint="eastAsia" w:ascii="Times New Roman" w:hAnsi="Times New Roman" w:eastAsia="宋体" w:cs="Times New Roman"/>
          <w:b/>
          <w:bCs/>
          <w:sz w:val="24"/>
          <w:szCs w:val="32"/>
          <w:shd w:val="pct10" w:color="auto" w:fill="FFFFFF"/>
          <w:lang w:val="zh-CN"/>
        </w:rPr>
        <w:t>中国重汽集团新能源产品试验检测中心（二期）设备搬迁项目</w:t>
      </w:r>
    </w:p>
    <w:p w14:paraId="4A5740DE">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建设地点：中国重汽集团新能源产品试验检测中心（二期）</w:t>
      </w:r>
    </w:p>
    <w:p w14:paraId="63EB93CA">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原存放地点：山东省济南市高新区华奥路777号</w:t>
      </w:r>
    </w:p>
    <w:p w14:paraId="38234C99">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搬迁目的地</w:t>
      </w:r>
    </w:p>
    <w:p w14:paraId="519F6565">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山东省济南市莱芜区莱城大道以东、龙马河西路以西，银安街以南，木安街以北。</w:t>
      </w:r>
    </w:p>
    <w:p w14:paraId="07C6EE14">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工作制度：</w:t>
      </w:r>
    </w:p>
    <w:p w14:paraId="372D1917">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全年工作</w:t>
      </w:r>
      <w:r>
        <w:rPr>
          <w:rFonts w:hint="eastAsia" w:ascii="Times New Roman" w:hAnsi="Times New Roman" w:eastAsia="宋体" w:cs="Times New Roman"/>
          <w:sz w:val="24"/>
          <w:szCs w:val="20"/>
          <w:u w:val="single"/>
          <w:shd w:val="pct10" w:color="auto" w:fill="FFFFFF"/>
        </w:rPr>
        <w:t>27</w:t>
      </w:r>
      <w:r>
        <w:rPr>
          <w:rFonts w:ascii="Times New Roman" w:hAnsi="Times New Roman" w:eastAsia="宋体" w:cs="Times New Roman"/>
          <w:sz w:val="24"/>
          <w:szCs w:val="20"/>
          <w:u w:val="single"/>
          <w:shd w:val="pct10" w:color="auto" w:fill="FFFFFF"/>
        </w:rPr>
        <w:t>0</w:t>
      </w:r>
      <w:r>
        <w:rPr>
          <w:rFonts w:hint="eastAsia" w:ascii="Times New Roman" w:hAnsi="Times New Roman" w:eastAsia="宋体" w:cs="Times New Roman"/>
          <w:sz w:val="24"/>
          <w:szCs w:val="20"/>
        </w:rPr>
        <w:t>天、</w:t>
      </w:r>
      <w:r>
        <w:rPr>
          <w:rFonts w:hint="eastAsia" w:ascii="Times New Roman" w:hAnsi="Times New Roman" w:eastAsia="宋体" w:cs="Times New Roman"/>
          <w:sz w:val="24"/>
          <w:szCs w:val="20"/>
          <w:u w:val="single"/>
          <w:shd w:val="pct10" w:color="auto" w:fill="FFFFFF"/>
        </w:rPr>
        <w:t>两</w:t>
      </w:r>
      <w:r>
        <w:rPr>
          <w:rFonts w:hint="eastAsia" w:ascii="Times New Roman" w:hAnsi="Times New Roman" w:eastAsia="宋体" w:cs="Times New Roman"/>
          <w:sz w:val="24"/>
          <w:szCs w:val="20"/>
        </w:rPr>
        <w:t>班制、设备年时基数</w:t>
      </w:r>
      <w:r>
        <w:rPr>
          <w:rFonts w:hint="eastAsia" w:ascii="Times New Roman" w:hAnsi="Times New Roman" w:eastAsia="宋体" w:cs="Times New Roman"/>
          <w:sz w:val="24"/>
          <w:szCs w:val="20"/>
          <w:u w:val="single"/>
          <w:shd w:val="pct10" w:color="auto" w:fill="FFFFFF"/>
        </w:rPr>
        <w:t>4380</w:t>
      </w:r>
      <w:r>
        <w:rPr>
          <w:rFonts w:hint="eastAsia" w:ascii="Times New Roman" w:hAnsi="Times New Roman" w:eastAsia="宋体" w:cs="Times New Roman"/>
          <w:sz w:val="24"/>
          <w:szCs w:val="20"/>
        </w:rPr>
        <w:t>小时。</w:t>
      </w:r>
    </w:p>
    <w:p w14:paraId="0EDB9F0D">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使用地点区域自然环境：</w:t>
      </w:r>
    </w:p>
    <w:p w14:paraId="79AAD0B0">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海拔高度：1000m以下</w:t>
      </w:r>
    </w:p>
    <w:p w14:paraId="3D54BD09">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环境温度：室外极端最低温度-20℃、极端最高温度45℃，昼夜最大温差25℃；室内温度5～42℃</w:t>
      </w:r>
    </w:p>
    <w:p w14:paraId="7C03B3FE">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相对湿度：最大95%、最小15%</w:t>
      </w:r>
    </w:p>
    <w:p w14:paraId="6DC0AEF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地震设防裂度：七度</w:t>
      </w:r>
    </w:p>
    <w:p w14:paraId="1407712C">
      <w:pPr>
        <w:keepNext/>
        <w:keepLines/>
        <w:widowControl/>
        <w:spacing w:line="360" w:lineRule="auto"/>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使用试验室环境条件：</w:t>
      </w:r>
    </w:p>
    <w:p w14:paraId="0AAA437D">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电力：中国制式，供电电压690V±15%/380V±15%/220V±15%，供电频率50Hz±2%</w:t>
      </w:r>
    </w:p>
    <w:p w14:paraId="4B56392D">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给水：市政自来水</w:t>
      </w:r>
    </w:p>
    <w:p w14:paraId="58CC7E2D">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冷却水：&lt;32℃，冷冻水：&lt;9℃</w:t>
      </w:r>
    </w:p>
    <w:p w14:paraId="35823C4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压缩空气：自备空压机自产压缩空气，0.5～0.7MPa</w:t>
      </w:r>
    </w:p>
    <w:p w14:paraId="5E24BC83">
      <w:pPr>
        <w:keepNext/>
        <w:keepLines/>
        <w:widowControl/>
        <w:numPr>
          <w:ilvl w:val="0"/>
          <w:numId w:val="18"/>
        </w:numPr>
        <w:spacing w:line="360" w:lineRule="auto"/>
        <w:ind w:left="240" w:firstLine="482" w:firstLineChars="200"/>
        <w:jc w:val="center"/>
        <w:outlineLvl w:val="1"/>
        <w:rPr>
          <w:rFonts w:ascii="宋体" w:hAnsi="宋体" w:eastAsia="宋体" w:cs="宋体"/>
          <w:b/>
          <w:bCs/>
          <w:sz w:val="24"/>
          <w:szCs w:val="24"/>
          <w:lang w:val="zh-CN"/>
        </w:rPr>
      </w:pPr>
      <w:bookmarkStart w:id="37" w:name="_Toc465187640"/>
      <w:bookmarkStart w:id="38" w:name="_Toc142724996"/>
      <w:r>
        <w:rPr>
          <w:rFonts w:hint="eastAsia" w:ascii="宋体" w:hAnsi="宋体" w:eastAsia="宋体" w:cs="宋体"/>
          <w:b/>
          <w:bCs/>
          <w:sz w:val="24"/>
          <w:szCs w:val="24"/>
          <w:lang w:val="zh-CN"/>
        </w:rPr>
        <w:t>供货内容概况</w:t>
      </w:r>
      <w:bookmarkEnd w:id="37"/>
      <w:bookmarkEnd w:id="38"/>
    </w:p>
    <w:p w14:paraId="5AF007E6">
      <w:pPr>
        <w:keepNext/>
        <w:keepLines/>
        <w:widowControl/>
        <w:numPr>
          <w:ilvl w:val="0"/>
          <w:numId w:val="19"/>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货物名称：</w:t>
      </w:r>
    </w:p>
    <w:p w14:paraId="18271C36">
      <w:pPr>
        <w:widowControl/>
        <w:spacing w:line="360" w:lineRule="auto"/>
        <w:ind w:left="480"/>
        <w:jc w:val="left"/>
        <w:rPr>
          <w:rFonts w:ascii="Times New Roman" w:hAnsi="Times New Roman" w:eastAsia="宋体" w:cs="Times New Roman"/>
          <w:sz w:val="24"/>
          <w:szCs w:val="20"/>
          <w:shd w:val="pct10" w:color="auto" w:fill="FFFFFF"/>
        </w:rPr>
      </w:pPr>
      <w:r>
        <w:rPr>
          <w:rFonts w:hint="eastAsia" w:ascii="Times New Roman" w:hAnsi="Times New Roman" w:eastAsia="宋体" w:cs="Times New Roman"/>
          <w:sz w:val="24"/>
          <w:szCs w:val="20"/>
          <w:shd w:val="pct10" w:color="auto" w:fill="FFFFFF"/>
        </w:rPr>
        <w:t>气压脉冲试验台、座椅头枕强度试验台、多楔带疲劳设备</w:t>
      </w:r>
    </w:p>
    <w:p w14:paraId="1AAB5012">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本项目设备搬迁调试是指将公司试验设备、物资（详见表1）由济南基地搬迁至莱芜基地，并完成设备在指定位置就位安装、调试、达到验收使用要求的全过程。</w:t>
      </w:r>
    </w:p>
    <w:p w14:paraId="5E8ED59A">
      <w:pPr>
        <w:keepNext/>
        <w:keepLines/>
        <w:widowControl/>
        <w:numPr>
          <w:ilvl w:val="0"/>
          <w:numId w:val="19"/>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货物/服务数量：</w:t>
      </w:r>
    </w:p>
    <w:p w14:paraId="0FE8E45A">
      <w:pPr>
        <w:widowControl/>
        <w:spacing w:line="360" w:lineRule="auto"/>
        <w:ind w:firstLine="480" w:firstLineChars="200"/>
        <w:jc w:val="left"/>
        <w:rPr>
          <w:rFonts w:ascii="Times New Roman" w:hAnsi="Times New Roman" w:eastAsia="宋体" w:cs="Times New Roman"/>
          <w:sz w:val="24"/>
          <w:szCs w:val="20"/>
        </w:rPr>
        <w:sectPr>
          <w:footerReference r:id="rId9" w:type="default"/>
          <w:pgSz w:w="11906" w:h="16838"/>
          <w:pgMar w:top="1440" w:right="1077" w:bottom="1440" w:left="1077" w:header="851" w:footer="992" w:gutter="0"/>
          <w:pgNumType w:start="1"/>
          <w:cols w:space="720" w:num="1"/>
          <w:docGrid w:type="lines" w:linePitch="312" w:charSpace="-3931"/>
        </w:sectPr>
      </w:pPr>
      <w:r>
        <w:rPr>
          <w:rFonts w:hint="eastAsia" w:ascii="Times New Roman" w:hAnsi="Times New Roman" w:eastAsia="宋体" w:cs="Times New Roman"/>
          <w:sz w:val="24"/>
          <w:szCs w:val="20"/>
        </w:rPr>
        <w:t>货物数量：3套/台。</w:t>
      </w:r>
    </w:p>
    <w:p w14:paraId="2008CB9B">
      <w:pPr>
        <w:widowControl/>
        <w:tabs>
          <w:tab w:val="left" w:pos="709"/>
        </w:tabs>
        <w:spacing w:before="312" w:beforeLines="100" w:after="312" w:afterLines="100" w:line="360" w:lineRule="auto"/>
        <w:ind w:left="443" w:firstLine="442" w:firstLineChars="200"/>
        <w:jc w:val="center"/>
        <w:rPr>
          <w:rFonts w:ascii="宋体" w:hAnsi="宋体" w:eastAsia="宋体" w:cs="宋体"/>
          <w:b/>
          <w:bCs/>
          <w:sz w:val="24"/>
          <w:szCs w:val="20"/>
        </w:rPr>
      </w:pPr>
      <w:bookmarkStart w:id="39" w:name="_Toc142724997"/>
      <w:r>
        <w:rPr>
          <w:rFonts w:hint="eastAsia" w:ascii="宋体" w:hAnsi="宋体" w:eastAsia="宋体" w:cs="宋体"/>
          <w:b/>
          <w:bCs/>
          <w:sz w:val="24"/>
          <w:szCs w:val="20"/>
        </w:rPr>
        <w:t>表1：试验室搬迁设备调试主要构成一览表</w:t>
      </w:r>
      <w:bookmarkEnd w:id="39"/>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2"/>
        <w:gridCol w:w="2927"/>
        <w:gridCol w:w="5009"/>
        <w:gridCol w:w="3361"/>
        <w:gridCol w:w="2165"/>
      </w:tblGrid>
      <w:tr w14:paraId="06157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51"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2EA924C9">
            <w:pPr>
              <w:widowControl/>
              <w:spacing w:line="360" w:lineRule="auto"/>
              <w:jc w:val="center"/>
              <w:rPr>
                <w:rFonts w:ascii="宋体" w:hAnsi="宋体" w:eastAsia="宋体" w:cs="宋体"/>
                <w:b/>
                <w:color w:val="000000"/>
                <w:kern w:val="0"/>
                <w:sz w:val="24"/>
                <w:szCs w:val="21"/>
              </w:rPr>
            </w:pPr>
            <w:r>
              <w:rPr>
                <w:rFonts w:hint="eastAsia" w:ascii="宋体" w:hAnsi="宋体" w:eastAsia="宋体" w:cs="宋体"/>
                <w:b/>
                <w:color w:val="000000"/>
                <w:kern w:val="0"/>
                <w:sz w:val="24"/>
                <w:szCs w:val="21"/>
              </w:rPr>
              <w:t>序号</w:t>
            </w:r>
          </w:p>
        </w:tc>
        <w:tc>
          <w:tcPr>
            <w:tcW w:w="1032"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4E238DFC">
            <w:pPr>
              <w:widowControl/>
              <w:spacing w:line="360" w:lineRule="auto"/>
              <w:jc w:val="center"/>
              <w:rPr>
                <w:rFonts w:ascii="宋体" w:hAnsi="宋体" w:eastAsia="宋体" w:cs="宋体"/>
                <w:b/>
                <w:color w:val="000000"/>
                <w:kern w:val="0"/>
                <w:sz w:val="24"/>
                <w:szCs w:val="21"/>
              </w:rPr>
            </w:pPr>
            <w:r>
              <w:rPr>
                <w:rFonts w:hint="eastAsia" w:ascii="宋体" w:hAnsi="宋体" w:eastAsia="宋体" w:cs="宋体"/>
                <w:b/>
                <w:color w:val="000000"/>
                <w:kern w:val="0"/>
                <w:sz w:val="24"/>
                <w:szCs w:val="21"/>
              </w:rPr>
              <w:t>系统名称</w:t>
            </w:r>
          </w:p>
        </w:tc>
        <w:tc>
          <w:tcPr>
            <w:tcW w:w="1766"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68323BFE">
            <w:pPr>
              <w:widowControl/>
              <w:spacing w:line="360" w:lineRule="auto"/>
              <w:jc w:val="center"/>
              <w:rPr>
                <w:rFonts w:ascii="宋体" w:hAnsi="宋体" w:eastAsia="宋体" w:cs="宋体"/>
                <w:b/>
                <w:color w:val="000000"/>
                <w:kern w:val="0"/>
                <w:sz w:val="24"/>
                <w:szCs w:val="21"/>
              </w:rPr>
            </w:pPr>
            <w:r>
              <w:rPr>
                <w:rFonts w:hint="eastAsia" w:ascii="宋体" w:hAnsi="宋体" w:eastAsia="宋体" w:cs="宋体"/>
                <w:b/>
                <w:color w:val="000000"/>
                <w:kern w:val="0"/>
                <w:sz w:val="24"/>
                <w:szCs w:val="21"/>
              </w:rPr>
              <w:t>设备名称</w:t>
            </w:r>
          </w:p>
        </w:tc>
        <w:tc>
          <w:tcPr>
            <w:tcW w:w="1185"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6F97116A">
            <w:pPr>
              <w:widowControl/>
              <w:spacing w:line="360" w:lineRule="auto"/>
              <w:jc w:val="center"/>
              <w:rPr>
                <w:rFonts w:ascii="宋体" w:hAnsi="宋体" w:eastAsia="宋体" w:cs="宋体"/>
                <w:b/>
                <w:color w:val="000000"/>
                <w:kern w:val="0"/>
                <w:sz w:val="24"/>
                <w:szCs w:val="21"/>
              </w:rPr>
            </w:pPr>
            <w:r>
              <w:rPr>
                <w:rFonts w:hint="eastAsia" w:ascii="宋体" w:hAnsi="宋体" w:eastAsia="宋体" w:cs="宋体"/>
                <w:b/>
                <w:color w:val="000000"/>
                <w:kern w:val="0"/>
                <w:sz w:val="24"/>
                <w:szCs w:val="21"/>
              </w:rPr>
              <w:t>品牌</w:t>
            </w:r>
          </w:p>
        </w:tc>
        <w:tc>
          <w:tcPr>
            <w:tcW w:w="763"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7ED982D4">
            <w:pPr>
              <w:widowControl/>
              <w:spacing w:line="360" w:lineRule="auto"/>
              <w:jc w:val="center"/>
              <w:rPr>
                <w:rFonts w:ascii="宋体" w:hAnsi="宋体" w:eastAsia="宋体" w:cs="宋体"/>
                <w:b/>
                <w:color w:val="000000"/>
                <w:kern w:val="0"/>
                <w:sz w:val="24"/>
                <w:szCs w:val="21"/>
              </w:rPr>
            </w:pPr>
            <w:r>
              <w:rPr>
                <w:rFonts w:hint="eastAsia" w:ascii="宋体" w:hAnsi="宋体" w:eastAsia="宋体" w:cs="宋体"/>
                <w:b/>
                <w:color w:val="000000"/>
                <w:kern w:val="0"/>
                <w:sz w:val="24"/>
                <w:szCs w:val="21"/>
              </w:rPr>
              <w:t>备注</w:t>
            </w:r>
          </w:p>
        </w:tc>
      </w:tr>
      <w:tr w14:paraId="19B46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1695E6D3">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w:t>
            </w:r>
          </w:p>
        </w:tc>
        <w:tc>
          <w:tcPr>
            <w:tcW w:w="1032"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6533C77D">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气压脉冲试验台</w:t>
            </w: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06C65AEC">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环境箱(尺寸重量见附图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4C1CA902">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2B5EA2A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　</w:t>
            </w:r>
          </w:p>
        </w:tc>
      </w:tr>
      <w:tr w14:paraId="10BA6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2762523F">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2</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8A27252">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7FCFB7ED">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液压站(尺寸重量见附图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30039699">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6A20296">
            <w:pPr>
              <w:widowControl/>
              <w:spacing w:line="360" w:lineRule="auto"/>
              <w:jc w:val="left"/>
              <w:rPr>
                <w:rFonts w:ascii="宋体" w:hAnsi="宋体" w:eastAsia="宋体" w:cs="宋体"/>
                <w:color w:val="000000"/>
                <w:kern w:val="0"/>
                <w:sz w:val="24"/>
                <w:szCs w:val="21"/>
              </w:rPr>
            </w:pPr>
          </w:p>
        </w:tc>
      </w:tr>
      <w:tr w14:paraId="77028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28657D43">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3</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43D10A6">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34767EF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动力箱(尺寸重量见附图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6EE87556">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D806987">
            <w:pPr>
              <w:widowControl/>
              <w:spacing w:line="360" w:lineRule="auto"/>
              <w:jc w:val="left"/>
              <w:rPr>
                <w:rFonts w:ascii="宋体" w:hAnsi="宋体" w:eastAsia="宋体" w:cs="宋体"/>
                <w:color w:val="000000"/>
                <w:kern w:val="0"/>
                <w:sz w:val="24"/>
                <w:szCs w:val="21"/>
              </w:rPr>
            </w:pPr>
          </w:p>
        </w:tc>
      </w:tr>
      <w:tr w14:paraId="5AD2E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5BBF054A">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4</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F3652B2">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035CBC4E">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冷水机(尺寸重量见附图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3EDAB8CA">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674C14A">
            <w:pPr>
              <w:widowControl/>
              <w:spacing w:line="360" w:lineRule="auto"/>
              <w:jc w:val="left"/>
              <w:rPr>
                <w:rFonts w:ascii="宋体" w:hAnsi="宋体" w:eastAsia="宋体" w:cs="宋体"/>
                <w:color w:val="000000"/>
                <w:kern w:val="0"/>
                <w:sz w:val="24"/>
                <w:szCs w:val="21"/>
              </w:rPr>
            </w:pPr>
          </w:p>
        </w:tc>
      </w:tr>
      <w:tr w14:paraId="0762A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6EB78DAB">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5</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933911C">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53A44579">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冷干机(尺寸重量见附图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281E8854">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6074E63">
            <w:pPr>
              <w:widowControl/>
              <w:spacing w:line="360" w:lineRule="auto"/>
              <w:jc w:val="left"/>
              <w:rPr>
                <w:rFonts w:ascii="宋体" w:hAnsi="宋体" w:eastAsia="宋体" w:cs="宋体"/>
                <w:color w:val="000000"/>
                <w:kern w:val="0"/>
                <w:sz w:val="24"/>
                <w:szCs w:val="21"/>
              </w:rPr>
            </w:pPr>
          </w:p>
        </w:tc>
      </w:tr>
      <w:tr w14:paraId="0E164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2BFE8E28">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6</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269FBB4">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1392EF79">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控制柜(尺寸重量见附图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5F17791A">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C027E3E">
            <w:pPr>
              <w:widowControl/>
              <w:spacing w:line="360" w:lineRule="auto"/>
              <w:jc w:val="left"/>
              <w:rPr>
                <w:rFonts w:ascii="宋体" w:hAnsi="宋体" w:eastAsia="宋体" w:cs="宋体"/>
                <w:color w:val="000000"/>
                <w:kern w:val="0"/>
                <w:sz w:val="24"/>
                <w:szCs w:val="21"/>
              </w:rPr>
            </w:pPr>
          </w:p>
        </w:tc>
      </w:tr>
      <w:tr w14:paraId="1FF7C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4DA63418">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7</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E7C9F70">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45E7C54B">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储气罐(尺寸重量见附图</w:t>
            </w:r>
            <w:r>
              <w:rPr>
                <w:rFonts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2539BE6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37D88EA">
            <w:pPr>
              <w:widowControl/>
              <w:spacing w:line="360" w:lineRule="auto"/>
              <w:jc w:val="left"/>
              <w:rPr>
                <w:rFonts w:ascii="宋体" w:hAnsi="宋体" w:eastAsia="宋体" w:cs="宋体"/>
                <w:color w:val="000000"/>
                <w:kern w:val="0"/>
                <w:sz w:val="24"/>
                <w:szCs w:val="21"/>
              </w:rPr>
            </w:pPr>
          </w:p>
        </w:tc>
      </w:tr>
      <w:tr w14:paraId="6F772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51"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1F4D31B8">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8</w:t>
            </w:r>
          </w:p>
        </w:tc>
        <w:tc>
          <w:tcPr>
            <w:tcW w:w="1032" w:type="pct"/>
            <w:vMerge w:val="restart"/>
            <w:tcBorders>
              <w:top w:val="single" w:color="auto" w:sz="4" w:space="0"/>
              <w:left w:val="single" w:color="auto" w:sz="4" w:space="0"/>
              <w:right w:val="single" w:color="auto" w:sz="4" w:space="0"/>
              <w:tl2br w:val="nil"/>
              <w:tr2bl w:val="nil"/>
            </w:tcBorders>
            <w:shd w:val="clear" w:color="auto" w:fill="BEBEBE"/>
            <w:vAlign w:val="center"/>
          </w:tcPr>
          <w:p w14:paraId="68BF6E3F">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座椅头枕强度试验台</w:t>
            </w:r>
          </w:p>
        </w:tc>
        <w:tc>
          <w:tcPr>
            <w:tcW w:w="176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0AA3A60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试验台台体(</w:t>
            </w:r>
            <w:r>
              <w:rPr>
                <w:rFonts w:hint="eastAsia" w:ascii="Times New Roman" w:hAnsi="Times New Roman" w:eastAsia="宋体" w:cs="Times New Roman"/>
                <w:sz w:val="24"/>
                <w:szCs w:val="20"/>
              </w:rPr>
              <w:t>尺寸约长4</w:t>
            </w:r>
            <w:r>
              <w:rPr>
                <w:rFonts w:ascii="Times New Roman" w:hAnsi="Times New Roman" w:eastAsia="宋体" w:cs="Times New Roman"/>
                <w:sz w:val="24"/>
                <w:szCs w:val="20"/>
              </w:rPr>
              <w:t>m*</w:t>
            </w:r>
            <w:r>
              <w:rPr>
                <w:rFonts w:hint="eastAsia" w:ascii="Times New Roman" w:hAnsi="Times New Roman" w:eastAsia="宋体" w:cs="Times New Roman"/>
                <w:sz w:val="24"/>
                <w:szCs w:val="20"/>
              </w:rPr>
              <w:t>宽3</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高1.5</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重量约1</w:t>
            </w:r>
            <w:r>
              <w:rPr>
                <w:rFonts w:ascii="Times New Roman" w:hAnsi="Times New Roman" w:eastAsia="宋体" w:cs="Times New Roman"/>
                <w:sz w:val="24"/>
                <w:szCs w:val="20"/>
              </w:rPr>
              <w:t>t)</w:t>
            </w:r>
            <w:r>
              <w:rPr>
                <w:rFonts w:hint="eastAsia"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0CF796E1">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3704ED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　</w:t>
            </w:r>
          </w:p>
        </w:tc>
      </w:tr>
      <w:tr w14:paraId="3D800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FA0A7E8">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9</w:t>
            </w:r>
          </w:p>
        </w:tc>
        <w:tc>
          <w:tcPr>
            <w:tcW w:w="1032" w:type="pct"/>
            <w:vMerge w:val="continue"/>
            <w:tcBorders>
              <w:left w:val="single" w:color="auto" w:sz="4" w:space="0"/>
              <w:right w:val="single" w:color="auto" w:sz="4" w:space="0"/>
              <w:tl2br w:val="nil"/>
              <w:tr2bl w:val="nil"/>
            </w:tcBorders>
            <w:shd w:val="clear" w:color="auto" w:fill="BEBEBE"/>
            <w:vAlign w:val="center"/>
          </w:tcPr>
          <w:p w14:paraId="36260CBE">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09F84FD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铁地板(</w:t>
            </w:r>
            <w:r>
              <w:rPr>
                <w:rFonts w:hint="eastAsia" w:ascii="Times New Roman" w:hAnsi="Times New Roman" w:eastAsia="宋体" w:cs="Times New Roman"/>
                <w:sz w:val="24"/>
                <w:szCs w:val="20"/>
              </w:rPr>
              <w:t>尺寸约长4</w:t>
            </w:r>
            <w:r>
              <w:rPr>
                <w:rFonts w:ascii="Times New Roman" w:hAnsi="Times New Roman" w:eastAsia="宋体" w:cs="Times New Roman"/>
                <w:sz w:val="24"/>
                <w:szCs w:val="20"/>
              </w:rPr>
              <w:t>m*</w:t>
            </w:r>
            <w:r>
              <w:rPr>
                <w:rFonts w:hint="eastAsia" w:ascii="Times New Roman" w:hAnsi="Times New Roman" w:eastAsia="宋体" w:cs="Times New Roman"/>
                <w:sz w:val="24"/>
                <w:szCs w:val="20"/>
              </w:rPr>
              <w:t>宽3</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高0.2</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重量约1.5</w:t>
            </w:r>
            <w:r>
              <w:rPr>
                <w:rFonts w:ascii="Times New Roman" w:hAnsi="Times New Roman" w:eastAsia="宋体" w:cs="Times New Roman"/>
                <w:sz w:val="24"/>
                <w:szCs w:val="20"/>
              </w:rPr>
              <w:t>t)</w:t>
            </w:r>
            <w:r>
              <w:rPr>
                <w:rFonts w:hint="eastAsia"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8ED0A77">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8BFCF30">
            <w:pPr>
              <w:widowControl/>
              <w:spacing w:line="360" w:lineRule="auto"/>
              <w:jc w:val="left"/>
              <w:rPr>
                <w:rFonts w:ascii="宋体" w:hAnsi="宋体" w:eastAsia="宋体" w:cs="宋体"/>
                <w:color w:val="000000"/>
                <w:kern w:val="0"/>
                <w:sz w:val="24"/>
                <w:szCs w:val="21"/>
              </w:rPr>
            </w:pPr>
          </w:p>
        </w:tc>
      </w:tr>
      <w:tr w14:paraId="638D7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51"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667AF8A">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10</w:t>
            </w:r>
          </w:p>
        </w:tc>
        <w:tc>
          <w:tcPr>
            <w:tcW w:w="1032" w:type="pct"/>
            <w:vMerge w:val="continue"/>
            <w:tcBorders>
              <w:left w:val="single" w:color="auto" w:sz="4" w:space="0"/>
              <w:right w:val="single" w:color="auto" w:sz="4" w:space="0"/>
              <w:tl2br w:val="nil"/>
              <w:tr2bl w:val="nil"/>
            </w:tcBorders>
            <w:shd w:val="clear" w:color="auto" w:fill="BEBEBE"/>
            <w:vAlign w:val="center"/>
          </w:tcPr>
          <w:p w14:paraId="4980507D">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103ADED4">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控制柜(</w:t>
            </w:r>
            <w:r>
              <w:rPr>
                <w:rFonts w:hint="eastAsia" w:ascii="Times New Roman" w:hAnsi="Times New Roman" w:eastAsia="宋体" w:cs="Times New Roman"/>
                <w:sz w:val="24"/>
                <w:szCs w:val="20"/>
              </w:rPr>
              <w:t>尺寸约长2</w:t>
            </w:r>
            <w:r>
              <w:rPr>
                <w:rFonts w:ascii="Times New Roman" w:hAnsi="Times New Roman" w:eastAsia="宋体" w:cs="Times New Roman"/>
                <w:sz w:val="24"/>
                <w:szCs w:val="20"/>
              </w:rPr>
              <w:t>m*</w:t>
            </w:r>
            <w:r>
              <w:rPr>
                <w:rFonts w:hint="eastAsia" w:ascii="Times New Roman" w:hAnsi="Times New Roman" w:eastAsia="宋体" w:cs="Times New Roman"/>
                <w:sz w:val="24"/>
                <w:szCs w:val="20"/>
              </w:rPr>
              <w:t>宽1</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高1.8</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重量约0.3</w:t>
            </w:r>
            <w:r>
              <w:rPr>
                <w:rFonts w:ascii="Times New Roman" w:hAnsi="Times New Roman" w:eastAsia="宋体" w:cs="Times New Roman"/>
                <w:sz w:val="24"/>
                <w:szCs w:val="20"/>
              </w:rPr>
              <w:t>t)</w:t>
            </w:r>
            <w:r>
              <w:rPr>
                <w:rFonts w:hint="eastAsia"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132585D6">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41BBA5EB">
            <w:pPr>
              <w:widowControl/>
              <w:spacing w:line="360" w:lineRule="auto"/>
              <w:jc w:val="left"/>
              <w:rPr>
                <w:rFonts w:ascii="宋体" w:hAnsi="宋体" w:eastAsia="宋体" w:cs="宋体"/>
                <w:color w:val="000000"/>
                <w:kern w:val="0"/>
                <w:sz w:val="24"/>
                <w:szCs w:val="21"/>
              </w:rPr>
            </w:pPr>
          </w:p>
        </w:tc>
      </w:tr>
      <w:tr w14:paraId="039FC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48E23AF5">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11</w:t>
            </w:r>
          </w:p>
        </w:tc>
        <w:tc>
          <w:tcPr>
            <w:tcW w:w="1032" w:type="pct"/>
            <w:vMerge w:val="continue"/>
            <w:tcBorders>
              <w:left w:val="single" w:color="auto" w:sz="4" w:space="0"/>
              <w:bottom w:val="single" w:color="auto" w:sz="4" w:space="0"/>
              <w:right w:val="single" w:color="auto" w:sz="4" w:space="0"/>
              <w:tl2br w:val="nil"/>
              <w:tr2bl w:val="nil"/>
            </w:tcBorders>
            <w:shd w:val="clear" w:color="auto" w:fill="BEBEBE"/>
            <w:vAlign w:val="center"/>
          </w:tcPr>
          <w:p w14:paraId="00BB694F">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1938E16B">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围栏(</w:t>
            </w:r>
            <w:r>
              <w:rPr>
                <w:rFonts w:hint="eastAsia" w:ascii="Times New Roman" w:hAnsi="Times New Roman" w:eastAsia="宋体" w:cs="Times New Roman"/>
                <w:sz w:val="24"/>
                <w:szCs w:val="20"/>
              </w:rPr>
              <w:t>尺寸约长7</w:t>
            </w:r>
            <w:r>
              <w:rPr>
                <w:rFonts w:ascii="Times New Roman" w:hAnsi="Times New Roman" w:eastAsia="宋体" w:cs="Times New Roman"/>
                <w:sz w:val="24"/>
                <w:szCs w:val="20"/>
              </w:rPr>
              <w:t>m*</w:t>
            </w:r>
            <w:r>
              <w:rPr>
                <w:rFonts w:hint="eastAsia" w:ascii="Times New Roman" w:hAnsi="Times New Roman" w:eastAsia="宋体" w:cs="Times New Roman"/>
                <w:sz w:val="24"/>
                <w:szCs w:val="20"/>
              </w:rPr>
              <w:t>宽0.1</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高2</w:t>
            </w:r>
            <w:r>
              <w:rPr>
                <w:rFonts w:ascii="Times New Roman" w:hAnsi="Times New Roman" w:eastAsia="宋体" w:cs="Times New Roman"/>
                <w:sz w:val="24"/>
                <w:szCs w:val="20"/>
              </w:rPr>
              <w:t>m</w:t>
            </w:r>
            <w:r>
              <w:rPr>
                <w:rFonts w:hint="eastAsia" w:ascii="Times New Roman" w:hAnsi="Times New Roman" w:eastAsia="宋体" w:cs="Times New Roman"/>
                <w:sz w:val="24"/>
                <w:szCs w:val="20"/>
              </w:rPr>
              <w:t>重量约0.4</w:t>
            </w:r>
            <w:r>
              <w:rPr>
                <w:rFonts w:ascii="Times New Roman" w:hAnsi="Times New Roman" w:eastAsia="宋体" w:cs="Times New Roman"/>
                <w:sz w:val="24"/>
                <w:szCs w:val="20"/>
              </w:rPr>
              <w:t>t)</w:t>
            </w:r>
            <w:r>
              <w:rPr>
                <w:rFonts w:hint="eastAsia" w:ascii="宋体" w:hAnsi="宋体" w:eastAsia="宋体" w:cs="宋体"/>
                <w:color w:val="000000"/>
                <w:kern w:val="0"/>
                <w:sz w:val="24"/>
                <w:szCs w:val="21"/>
              </w:rPr>
              <w:t>)</w:t>
            </w:r>
          </w:p>
        </w:tc>
        <w:tc>
          <w:tcPr>
            <w:tcW w:w="1185"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FA03A40">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71B1EA1">
            <w:pPr>
              <w:widowControl/>
              <w:spacing w:line="360" w:lineRule="auto"/>
              <w:jc w:val="left"/>
              <w:rPr>
                <w:rFonts w:ascii="宋体" w:hAnsi="宋体" w:eastAsia="宋体" w:cs="宋体"/>
                <w:color w:val="000000"/>
                <w:kern w:val="0"/>
                <w:sz w:val="24"/>
                <w:szCs w:val="21"/>
              </w:rPr>
            </w:pPr>
          </w:p>
        </w:tc>
      </w:tr>
      <w:tr w14:paraId="570EE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739A92B8">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12</w:t>
            </w:r>
          </w:p>
        </w:tc>
        <w:tc>
          <w:tcPr>
            <w:tcW w:w="1032"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0E3C1439">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多楔带疲劳试验机</w:t>
            </w: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33F7FB64">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设备本体(尺寸约长2</w:t>
            </w:r>
            <w:r>
              <w:rPr>
                <w:rFonts w:ascii="宋体" w:hAnsi="宋体" w:eastAsia="宋体" w:cs="宋体"/>
                <w:color w:val="000000"/>
                <w:kern w:val="0"/>
                <w:sz w:val="24"/>
                <w:szCs w:val="21"/>
              </w:rPr>
              <w:t>m*</w:t>
            </w:r>
            <w:r>
              <w:rPr>
                <w:rFonts w:hint="eastAsia" w:ascii="宋体" w:hAnsi="宋体" w:eastAsia="宋体" w:cs="宋体"/>
                <w:color w:val="000000"/>
                <w:kern w:val="0"/>
                <w:sz w:val="24"/>
                <w:szCs w:val="21"/>
              </w:rPr>
              <w:t>宽</w:t>
            </w:r>
            <w:r>
              <w:rPr>
                <w:rFonts w:ascii="宋体" w:hAnsi="宋体" w:eastAsia="宋体" w:cs="宋体"/>
                <w:color w:val="000000"/>
                <w:kern w:val="0"/>
                <w:sz w:val="24"/>
                <w:szCs w:val="21"/>
              </w:rPr>
              <w:t>1m*</w:t>
            </w:r>
            <w:r>
              <w:rPr>
                <w:rFonts w:hint="eastAsia" w:ascii="宋体" w:hAnsi="宋体" w:eastAsia="宋体" w:cs="宋体"/>
                <w:color w:val="000000"/>
                <w:kern w:val="0"/>
                <w:sz w:val="24"/>
                <w:szCs w:val="21"/>
              </w:rPr>
              <w:t>高</w:t>
            </w:r>
            <w:r>
              <w:rPr>
                <w:rFonts w:ascii="宋体" w:hAnsi="宋体" w:eastAsia="宋体" w:cs="宋体"/>
                <w:color w:val="000000"/>
                <w:kern w:val="0"/>
                <w:sz w:val="24"/>
                <w:szCs w:val="21"/>
              </w:rPr>
              <w:t>2m</w:t>
            </w:r>
            <w:r>
              <w:rPr>
                <w:rFonts w:hint="eastAsia" w:ascii="宋体" w:hAnsi="宋体" w:eastAsia="宋体" w:cs="宋体"/>
                <w:color w:val="000000"/>
                <w:kern w:val="0"/>
                <w:sz w:val="24"/>
                <w:szCs w:val="21"/>
              </w:rPr>
              <w:t>重量约1</w:t>
            </w:r>
            <w:r>
              <w:rPr>
                <w:rFonts w:ascii="宋体" w:hAnsi="宋体" w:eastAsia="宋体" w:cs="宋体"/>
                <w:color w:val="000000"/>
                <w:kern w:val="0"/>
                <w:sz w:val="24"/>
                <w:szCs w:val="21"/>
              </w:rPr>
              <w:t>.5t)</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245DB2F9">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466A6450">
            <w:pPr>
              <w:widowControl/>
              <w:spacing w:line="360" w:lineRule="auto"/>
              <w:jc w:val="left"/>
              <w:rPr>
                <w:rFonts w:ascii="宋体" w:hAnsi="宋体" w:eastAsia="宋体" w:cs="宋体"/>
                <w:color w:val="000000"/>
                <w:kern w:val="0"/>
                <w:sz w:val="24"/>
                <w:szCs w:val="21"/>
              </w:rPr>
            </w:pPr>
          </w:p>
        </w:tc>
      </w:tr>
      <w:tr w14:paraId="731AF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4B6C3AEE">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13</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5EE9087">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023F8044">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配重及工装(配重块，单个约2</w:t>
            </w:r>
            <w:r>
              <w:rPr>
                <w:rFonts w:ascii="宋体" w:hAnsi="宋体" w:eastAsia="宋体" w:cs="宋体"/>
                <w:color w:val="000000"/>
                <w:kern w:val="0"/>
                <w:sz w:val="24"/>
                <w:szCs w:val="21"/>
              </w:rPr>
              <w:t>0kg,</w:t>
            </w:r>
            <w:r>
              <w:rPr>
                <w:rFonts w:hint="eastAsia" w:ascii="宋体" w:hAnsi="宋体" w:eastAsia="宋体" w:cs="宋体"/>
                <w:color w:val="000000"/>
                <w:kern w:val="0"/>
                <w:sz w:val="24"/>
                <w:szCs w:val="21"/>
              </w:rPr>
              <w:t>总重量约</w:t>
            </w:r>
            <w:r>
              <w:rPr>
                <w:rFonts w:ascii="宋体" w:hAnsi="宋体" w:eastAsia="宋体" w:cs="宋体"/>
                <w:color w:val="000000"/>
                <w:kern w:val="0"/>
                <w:sz w:val="24"/>
                <w:szCs w:val="21"/>
              </w:rPr>
              <w:t>300kg))</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1AAEA1B2">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D435F34">
            <w:pPr>
              <w:widowControl/>
              <w:spacing w:line="360" w:lineRule="auto"/>
              <w:jc w:val="left"/>
              <w:rPr>
                <w:rFonts w:ascii="宋体" w:hAnsi="宋体" w:eastAsia="宋体" w:cs="宋体"/>
                <w:color w:val="000000"/>
                <w:kern w:val="0"/>
                <w:sz w:val="24"/>
                <w:szCs w:val="21"/>
              </w:rPr>
            </w:pPr>
          </w:p>
        </w:tc>
      </w:tr>
      <w:tr w14:paraId="6CC31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51" w:type="pct"/>
            <w:tcBorders>
              <w:top w:val="single" w:color="auto" w:sz="4" w:space="0"/>
              <w:left w:val="single" w:color="auto" w:sz="4" w:space="0"/>
              <w:bottom w:val="single" w:color="auto" w:sz="4" w:space="0"/>
              <w:right w:val="single" w:color="auto" w:sz="4" w:space="0"/>
              <w:tl2br w:val="nil"/>
              <w:tr2bl w:val="nil"/>
            </w:tcBorders>
            <w:vAlign w:val="center"/>
          </w:tcPr>
          <w:p w14:paraId="064C35DA">
            <w:pPr>
              <w:widowControl/>
              <w:spacing w:line="360" w:lineRule="auto"/>
              <w:jc w:val="center"/>
              <w:rPr>
                <w:rFonts w:ascii="宋体" w:hAnsi="宋体" w:eastAsia="宋体" w:cs="宋体"/>
                <w:color w:val="000000"/>
                <w:kern w:val="0"/>
                <w:sz w:val="24"/>
                <w:szCs w:val="21"/>
              </w:rPr>
            </w:pPr>
            <w:r>
              <w:rPr>
                <w:rFonts w:hint="eastAsia" w:ascii="宋体" w:hAnsi="宋体" w:eastAsia="宋体" w:cs="宋体"/>
                <w:color w:val="000000"/>
                <w:kern w:val="0"/>
                <w:sz w:val="24"/>
                <w:szCs w:val="21"/>
              </w:rPr>
              <w:t>14</w:t>
            </w:r>
          </w:p>
        </w:tc>
        <w:tc>
          <w:tcPr>
            <w:tcW w:w="1032"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2046E92">
            <w:pPr>
              <w:widowControl/>
              <w:spacing w:line="360" w:lineRule="auto"/>
              <w:jc w:val="left"/>
              <w:rPr>
                <w:rFonts w:ascii="宋体" w:hAnsi="宋体" w:eastAsia="宋体" w:cs="宋体"/>
                <w:color w:val="000000"/>
                <w:kern w:val="0"/>
                <w:sz w:val="24"/>
                <w:szCs w:val="21"/>
              </w:rPr>
            </w:pPr>
          </w:p>
        </w:tc>
        <w:tc>
          <w:tcPr>
            <w:tcW w:w="1766" w:type="pct"/>
            <w:tcBorders>
              <w:top w:val="single" w:color="auto" w:sz="4" w:space="0"/>
              <w:left w:val="single" w:color="auto" w:sz="4" w:space="0"/>
              <w:bottom w:val="single" w:color="auto" w:sz="4" w:space="0"/>
              <w:right w:val="single" w:color="auto" w:sz="4" w:space="0"/>
              <w:tl2br w:val="nil"/>
              <w:tr2bl w:val="nil"/>
            </w:tcBorders>
            <w:vAlign w:val="center"/>
          </w:tcPr>
          <w:p w14:paraId="079BA5DE">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控制柜(尺寸约长</w:t>
            </w:r>
            <w:r>
              <w:rPr>
                <w:rFonts w:ascii="宋体" w:hAnsi="宋体" w:eastAsia="宋体" w:cs="宋体"/>
                <w:color w:val="000000"/>
                <w:kern w:val="0"/>
                <w:sz w:val="24"/>
                <w:szCs w:val="21"/>
              </w:rPr>
              <w:t>1m*</w:t>
            </w:r>
            <w:r>
              <w:rPr>
                <w:rFonts w:hint="eastAsia" w:ascii="宋体" w:hAnsi="宋体" w:eastAsia="宋体" w:cs="宋体"/>
                <w:color w:val="000000"/>
                <w:kern w:val="0"/>
                <w:sz w:val="24"/>
                <w:szCs w:val="21"/>
              </w:rPr>
              <w:t>宽</w:t>
            </w:r>
            <w:r>
              <w:rPr>
                <w:rFonts w:ascii="宋体" w:hAnsi="宋体" w:eastAsia="宋体" w:cs="宋体"/>
                <w:color w:val="000000"/>
                <w:kern w:val="0"/>
                <w:sz w:val="24"/>
                <w:szCs w:val="21"/>
              </w:rPr>
              <w:t>1m*</w:t>
            </w:r>
            <w:r>
              <w:rPr>
                <w:rFonts w:hint="eastAsia" w:ascii="宋体" w:hAnsi="宋体" w:eastAsia="宋体" w:cs="宋体"/>
                <w:color w:val="000000"/>
                <w:kern w:val="0"/>
                <w:sz w:val="24"/>
                <w:szCs w:val="21"/>
              </w:rPr>
              <w:t>高</w:t>
            </w:r>
            <w:r>
              <w:rPr>
                <w:rFonts w:ascii="宋体" w:hAnsi="宋体" w:eastAsia="宋体" w:cs="宋体"/>
                <w:color w:val="000000"/>
                <w:kern w:val="0"/>
                <w:sz w:val="24"/>
                <w:szCs w:val="21"/>
              </w:rPr>
              <w:t>2m</w:t>
            </w:r>
            <w:r>
              <w:rPr>
                <w:rFonts w:hint="eastAsia" w:ascii="宋体" w:hAnsi="宋体" w:eastAsia="宋体" w:cs="宋体"/>
                <w:color w:val="000000"/>
                <w:kern w:val="0"/>
                <w:sz w:val="24"/>
                <w:szCs w:val="21"/>
              </w:rPr>
              <w:t>重量约</w:t>
            </w:r>
            <w:r>
              <w:rPr>
                <w:rFonts w:ascii="宋体" w:hAnsi="宋体" w:eastAsia="宋体" w:cs="宋体"/>
                <w:color w:val="000000"/>
                <w:kern w:val="0"/>
                <w:sz w:val="24"/>
                <w:szCs w:val="21"/>
              </w:rPr>
              <w:t>200kg)</w:t>
            </w:r>
          </w:p>
        </w:tc>
        <w:tc>
          <w:tcPr>
            <w:tcW w:w="1185" w:type="pct"/>
            <w:tcBorders>
              <w:top w:val="single" w:color="auto" w:sz="4" w:space="0"/>
              <w:left w:val="single" w:color="auto" w:sz="4" w:space="0"/>
              <w:bottom w:val="single" w:color="auto" w:sz="4" w:space="0"/>
              <w:right w:val="single" w:color="auto" w:sz="4" w:space="0"/>
              <w:tl2br w:val="nil"/>
              <w:tr2bl w:val="nil"/>
            </w:tcBorders>
            <w:vAlign w:val="center"/>
          </w:tcPr>
          <w:p w14:paraId="074379B3">
            <w:pPr>
              <w:widowControl/>
              <w:spacing w:line="360" w:lineRule="auto"/>
              <w:jc w:val="left"/>
              <w:rPr>
                <w:rFonts w:ascii="宋体" w:hAnsi="宋体" w:eastAsia="宋体" w:cs="宋体"/>
                <w:color w:val="000000"/>
                <w:kern w:val="0"/>
                <w:sz w:val="24"/>
                <w:szCs w:val="21"/>
              </w:rPr>
            </w:pPr>
            <w:r>
              <w:rPr>
                <w:rFonts w:hint="eastAsia" w:ascii="宋体" w:hAnsi="宋体" w:eastAsia="宋体" w:cs="宋体"/>
                <w:color w:val="000000"/>
                <w:kern w:val="0"/>
                <w:sz w:val="24"/>
                <w:szCs w:val="21"/>
              </w:rPr>
              <w:t>沈阳紫微恒检测设备有限公司</w:t>
            </w:r>
          </w:p>
        </w:tc>
        <w:tc>
          <w:tcPr>
            <w:tcW w:w="763"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002451B">
            <w:pPr>
              <w:widowControl/>
              <w:spacing w:line="360" w:lineRule="auto"/>
              <w:jc w:val="left"/>
              <w:rPr>
                <w:rFonts w:ascii="宋体" w:hAnsi="宋体" w:eastAsia="宋体" w:cs="宋体"/>
                <w:color w:val="000000"/>
                <w:kern w:val="0"/>
                <w:sz w:val="24"/>
                <w:szCs w:val="21"/>
              </w:rPr>
            </w:pPr>
          </w:p>
        </w:tc>
      </w:tr>
    </w:tbl>
    <w:p w14:paraId="2AE79694">
      <w:pPr>
        <w:widowControl/>
        <w:tabs>
          <w:tab w:val="left" w:pos="709"/>
        </w:tabs>
        <w:spacing w:before="312" w:beforeLines="100" w:after="312" w:afterLines="100" w:line="360" w:lineRule="auto"/>
        <w:ind w:left="443" w:firstLine="442" w:firstLineChars="200"/>
        <w:jc w:val="center"/>
        <w:rPr>
          <w:rFonts w:ascii="宋体" w:hAnsi="宋体" w:eastAsia="宋体" w:cs="宋体"/>
          <w:b/>
          <w:bCs/>
          <w:sz w:val="24"/>
          <w:szCs w:val="20"/>
        </w:rPr>
      </w:pPr>
      <w:bookmarkStart w:id="40" w:name="_Toc142724998"/>
      <w:r>
        <w:rPr>
          <w:rFonts w:hint="eastAsia" w:ascii="宋体" w:hAnsi="宋体" w:eastAsia="宋体" w:cs="宋体"/>
          <w:b/>
          <w:bCs/>
          <w:sz w:val="24"/>
          <w:szCs w:val="20"/>
        </w:rPr>
        <w:t>表2：试验室搬迁设备调试易损件/易耗件一览表</w:t>
      </w:r>
      <w:bookmarkEnd w:id="40"/>
      <w:r>
        <w:rPr>
          <w:rFonts w:hint="eastAsia" w:ascii="宋体" w:hAnsi="宋体" w:eastAsia="宋体" w:cs="宋体"/>
          <w:b/>
          <w:bCs/>
          <w:sz w:val="24"/>
          <w:szCs w:val="20"/>
          <w:highlight w:val="red"/>
        </w:rPr>
        <w:t>（具体以设备随机资料为准）</w:t>
      </w:r>
    </w:p>
    <w:tbl>
      <w:tblPr>
        <w:tblStyle w:val="45"/>
        <w:tblW w:w="507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1840"/>
        <w:gridCol w:w="2096"/>
        <w:gridCol w:w="4772"/>
        <w:gridCol w:w="2845"/>
        <w:gridCol w:w="2030"/>
      </w:tblGrid>
      <w:tr w14:paraId="3207E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215EA3AB">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序号</w:t>
            </w:r>
          </w:p>
        </w:tc>
        <w:tc>
          <w:tcPr>
            <w:tcW w:w="639"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67A850E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系统名称</w:t>
            </w:r>
          </w:p>
        </w:tc>
        <w:tc>
          <w:tcPr>
            <w:tcW w:w="728"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1044A931">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设备名称</w:t>
            </w:r>
          </w:p>
        </w:tc>
        <w:tc>
          <w:tcPr>
            <w:tcW w:w="1657"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7325639A">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搬迁涉及的易耗品</w:t>
            </w:r>
          </w:p>
        </w:tc>
        <w:tc>
          <w:tcPr>
            <w:tcW w:w="988"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2F55A58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搬迁涉及的易损件</w:t>
            </w:r>
          </w:p>
        </w:tc>
        <w:tc>
          <w:tcPr>
            <w:tcW w:w="706"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7D2C1EC5">
            <w:pPr>
              <w:widowControl/>
              <w:spacing w:line="360" w:lineRule="auto"/>
              <w:ind w:left="443" w:firstLine="382" w:firstLineChars="200"/>
              <w:jc w:val="center"/>
              <w:rPr>
                <w:rFonts w:ascii="宋体" w:hAnsi="宋体" w:eastAsia="宋体" w:cs="宋体"/>
                <w:b/>
                <w:color w:val="000000"/>
                <w:kern w:val="0"/>
                <w:szCs w:val="21"/>
              </w:rPr>
            </w:pPr>
            <w:r>
              <w:rPr>
                <w:rFonts w:hint="eastAsia" w:ascii="宋体" w:hAnsi="宋体" w:eastAsia="宋体" w:cs="宋体"/>
                <w:b/>
                <w:color w:val="000000"/>
                <w:kern w:val="0"/>
                <w:szCs w:val="21"/>
              </w:rPr>
              <w:t>备注</w:t>
            </w:r>
          </w:p>
        </w:tc>
      </w:tr>
      <w:tr w14:paraId="7E0B4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7C0F5F0B">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w:t>
            </w:r>
          </w:p>
        </w:tc>
        <w:tc>
          <w:tcPr>
            <w:tcW w:w="639" w:type="pct"/>
            <w:vMerge w:val="restart"/>
            <w:tcBorders>
              <w:top w:val="single" w:color="auto" w:sz="4" w:space="0"/>
              <w:left w:val="single" w:color="auto" w:sz="4" w:space="0"/>
              <w:right w:val="single" w:color="auto" w:sz="4" w:space="0"/>
              <w:tl2br w:val="nil"/>
              <w:tr2bl w:val="nil"/>
            </w:tcBorders>
            <w:vAlign w:val="center"/>
          </w:tcPr>
          <w:p w14:paraId="3C32D679">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气压脉冲试验台</w:t>
            </w: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2860A0DC">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环境箱</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0194688D">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设备间高压钢管管路可能拆装损坏，可能需更新</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729DC950">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传感器、压力表等</w:t>
            </w:r>
          </w:p>
        </w:tc>
        <w:tc>
          <w:tcPr>
            <w:tcW w:w="706" w:type="pct"/>
            <w:vMerge w:val="restart"/>
            <w:tcBorders>
              <w:top w:val="single" w:color="auto" w:sz="4" w:space="0"/>
              <w:left w:val="single" w:color="auto" w:sz="4" w:space="0"/>
              <w:right w:val="single" w:color="auto" w:sz="4" w:space="0"/>
              <w:tl2br w:val="nil"/>
              <w:tr2bl w:val="nil"/>
            </w:tcBorders>
            <w:vAlign w:val="center"/>
          </w:tcPr>
          <w:p w14:paraId="1ADEEB08">
            <w:pPr>
              <w:widowControl/>
              <w:spacing w:line="360" w:lineRule="auto"/>
              <w:ind w:left="402" w:firstLine="382" w:firstLineChars="200"/>
              <w:jc w:val="left"/>
              <w:rPr>
                <w:rFonts w:ascii="宋体" w:hAnsi="宋体" w:eastAsia="宋体" w:cs="宋体"/>
                <w:color w:val="000000"/>
                <w:kern w:val="0"/>
                <w:szCs w:val="21"/>
              </w:rPr>
            </w:pPr>
            <w:r>
              <w:rPr>
                <w:rFonts w:hint="eastAsia" w:ascii="宋体" w:hAnsi="宋体" w:eastAsia="宋体" w:cs="宋体"/>
                <w:color w:val="000000"/>
                <w:kern w:val="0"/>
                <w:szCs w:val="21"/>
              </w:rPr>
              <w:t>　</w:t>
            </w:r>
          </w:p>
        </w:tc>
      </w:tr>
      <w:tr w14:paraId="0BAD2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03B999E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2</w:t>
            </w:r>
          </w:p>
        </w:tc>
        <w:tc>
          <w:tcPr>
            <w:tcW w:w="639" w:type="pct"/>
            <w:vMerge w:val="continue"/>
            <w:tcBorders>
              <w:left w:val="single" w:color="auto" w:sz="4" w:space="0"/>
              <w:right w:val="single" w:color="auto" w:sz="4" w:space="0"/>
              <w:tl2br w:val="nil"/>
              <w:tr2bl w:val="nil"/>
            </w:tcBorders>
            <w:vAlign w:val="center"/>
          </w:tcPr>
          <w:p w14:paraId="092EA573">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1EF37B90">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液压站</w:t>
            </w:r>
          </w:p>
        </w:tc>
        <w:tc>
          <w:tcPr>
            <w:tcW w:w="1657" w:type="pct"/>
            <w:tcBorders>
              <w:top w:val="single" w:color="auto" w:sz="4" w:space="0"/>
              <w:left w:val="single" w:color="auto" w:sz="4" w:space="0"/>
              <w:bottom w:val="single" w:color="auto" w:sz="4" w:space="0"/>
              <w:right w:val="single" w:color="auto" w:sz="4" w:space="0"/>
              <w:tl2br w:val="nil"/>
              <w:tr2bl w:val="nil"/>
            </w:tcBorders>
          </w:tcPr>
          <w:p w14:paraId="02766529">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设备间高压钢管管路可能拆装损坏，可能需更新</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2EB46F5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传感器等</w:t>
            </w:r>
          </w:p>
        </w:tc>
        <w:tc>
          <w:tcPr>
            <w:tcW w:w="706" w:type="pct"/>
            <w:vMerge w:val="continue"/>
            <w:tcBorders>
              <w:left w:val="single" w:color="auto" w:sz="4" w:space="0"/>
              <w:right w:val="single" w:color="auto" w:sz="4" w:space="0"/>
              <w:tl2br w:val="nil"/>
              <w:tr2bl w:val="nil"/>
            </w:tcBorders>
            <w:vAlign w:val="center"/>
          </w:tcPr>
          <w:p w14:paraId="268F1B4B">
            <w:pPr>
              <w:widowControl/>
              <w:spacing w:line="360" w:lineRule="auto"/>
              <w:ind w:left="402" w:firstLine="382" w:firstLineChars="200"/>
              <w:jc w:val="left"/>
              <w:rPr>
                <w:rFonts w:ascii="宋体" w:hAnsi="宋体" w:eastAsia="宋体" w:cs="宋体"/>
                <w:color w:val="000000"/>
                <w:kern w:val="0"/>
                <w:szCs w:val="21"/>
              </w:rPr>
            </w:pPr>
          </w:p>
        </w:tc>
      </w:tr>
      <w:tr w14:paraId="71F7F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53C4CE48">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3</w:t>
            </w:r>
          </w:p>
        </w:tc>
        <w:tc>
          <w:tcPr>
            <w:tcW w:w="639" w:type="pct"/>
            <w:vMerge w:val="continue"/>
            <w:tcBorders>
              <w:left w:val="single" w:color="auto" w:sz="4" w:space="0"/>
              <w:right w:val="single" w:color="auto" w:sz="4" w:space="0"/>
              <w:tl2br w:val="nil"/>
              <w:tr2bl w:val="nil"/>
            </w:tcBorders>
            <w:vAlign w:val="center"/>
          </w:tcPr>
          <w:p w14:paraId="0A763415">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1032874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动力箱</w:t>
            </w:r>
          </w:p>
        </w:tc>
        <w:tc>
          <w:tcPr>
            <w:tcW w:w="1657" w:type="pct"/>
            <w:tcBorders>
              <w:top w:val="single" w:color="auto" w:sz="4" w:space="0"/>
              <w:left w:val="single" w:color="auto" w:sz="4" w:space="0"/>
              <w:bottom w:val="single" w:color="auto" w:sz="4" w:space="0"/>
              <w:right w:val="single" w:color="auto" w:sz="4" w:space="0"/>
              <w:tl2br w:val="nil"/>
              <w:tr2bl w:val="nil"/>
            </w:tcBorders>
          </w:tcPr>
          <w:p w14:paraId="7FF3405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设备间高压钢管管路可能拆装损坏，可能需更新</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5BF7EC57">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传感器、压力表等</w:t>
            </w:r>
          </w:p>
        </w:tc>
        <w:tc>
          <w:tcPr>
            <w:tcW w:w="706" w:type="pct"/>
            <w:vMerge w:val="continue"/>
            <w:tcBorders>
              <w:left w:val="single" w:color="auto" w:sz="4" w:space="0"/>
              <w:right w:val="single" w:color="auto" w:sz="4" w:space="0"/>
              <w:tl2br w:val="nil"/>
              <w:tr2bl w:val="nil"/>
            </w:tcBorders>
            <w:vAlign w:val="center"/>
          </w:tcPr>
          <w:p w14:paraId="5842C321">
            <w:pPr>
              <w:widowControl/>
              <w:spacing w:line="360" w:lineRule="auto"/>
              <w:ind w:left="402" w:firstLine="382" w:firstLineChars="200"/>
              <w:jc w:val="left"/>
              <w:rPr>
                <w:rFonts w:ascii="宋体" w:hAnsi="宋体" w:eastAsia="宋体" w:cs="宋体"/>
                <w:color w:val="000000"/>
                <w:kern w:val="0"/>
                <w:szCs w:val="21"/>
              </w:rPr>
            </w:pPr>
          </w:p>
        </w:tc>
      </w:tr>
      <w:tr w14:paraId="76D0A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68D07A61">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4</w:t>
            </w:r>
          </w:p>
        </w:tc>
        <w:tc>
          <w:tcPr>
            <w:tcW w:w="639" w:type="pct"/>
            <w:vMerge w:val="continue"/>
            <w:tcBorders>
              <w:left w:val="single" w:color="auto" w:sz="4" w:space="0"/>
              <w:right w:val="single" w:color="auto" w:sz="4" w:space="0"/>
              <w:tl2br w:val="nil"/>
              <w:tr2bl w:val="nil"/>
            </w:tcBorders>
            <w:vAlign w:val="center"/>
          </w:tcPr>
          <w:p w14:paraId="7DBC72F1">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47F85930">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冷水机</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4890F25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部分线缆、管路等可能需重新采购</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099B6EE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压缩机、管路</w:t>
            </w:r>
          </w:p>
        </w:tc>
        <w:tc>
          <w:tcPr>
            <w:tcW w:w="706" w:type="pct"/>
            <w:vMerge w:val="continue"/>
            <w:tcBorders>
              <w:left w:val="single" w:color="auto" w:sz="4" w:space="0"/>
              <w:right w:val="single" w:color="auto" w:sz="4" w:space="0"/>
              <w:tl2br w:val="nil"/>
              <w:tr2bl w:val="nil"/>
            </w:tcBorders>
            <w:vAlign w:val="center"/>
          </w:tcPr>
          <w:p w14:paraId="1E1BCC65">
            <w:pPr>
              <w:widowControl/>
              <w:spacing w:line="360" w:lineRule="auto"/>
              <w:ind w:left="402" w:firstLine="382" w:firstLineChars="200"/>
              <w:jc w:val="left"/>
              <w:rPr>
                <w:rFonts w:ascii="宋体" w:hAnsi="宋体" w:eastAsia="宋体" w:cs="宋体"/>
                <w:color w:val="000000"/>
                <w:kern w:val="0"/>
                <w:szCs w:val="21"/>
              </w:rPr>
            </w:pPr>
          </w:p>
        </w:tc>
      </w:tr>
      <w:tr w14:paraId="72D24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45A78FCC">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5</w:t>
            </w:r>
          </w:p>
        </w:tc>
        <w:tc>
          <w:tcPr>
            <w:tcW w:w="639" w:type="pct"/>
            <w:vMerge w:val="continue"/>
            <w:tcBorders>
              <w:left w:val="single" w:color="auto" w:sz="4" w:space="0"/>
              <w:right w:val="single" w:color="auto" w:sz="4" w:space="0"/>
              <w:tl2br w:val="nil"/>
              <w:tr2bl w:val="nil"/>
            </w:tcBorders>
            <w:vAlign w:val="center"/>
          </w:tcPr>
          <w:p w14:paraId="05F572CE">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6D3C57F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冷干机</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1DA5D9E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部分线缆、管路等可能需重新采购</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187B729F">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电气元件、传感器等设备</w:t>
            </w:r>
          </w:p>
        </w:tc>
        <w:tc>
          <w:tcPr>
            <w:tcW w:w="706" w:type="pct"/>
            <w:vMerge w:val="continue"/>
            <w:tcBorders>
              <w:left w:val="single" w:color="auto" w:sz="4" w:space="0"/>
              <w:right w:val="single" w:color="auto" w:sz="4" w:space="0"/>
              <w:tl2br w:val="nil"/>
              <w:tr2bl w:val="nil"/>
            </w:tcBorders>
            <w:vAlign w:val="center"/>
          </w:tcPr>
          <w:p w14:paraId="4ADB781A">
            <w:pPr>
              <w:widowControl/>
              <w:spacing w:line="360" w:lineRule="auto"/>
              <w:ind w:left="402" w:firstLine="382" w:firstLineChars="200"/>
              <w:jc w:val="left"/>
              <w:rPr>
                <w:rFonts w:ascii="宋体" w:hAnsi="宋体" w:eastAsia="宋体" w:cs="宋体"/>
                <w:color w:val="000000"/>
                <w:kern w:val="0"/>
                <w:szCs w:val="21"/>
              </w:rPr>
            </w:pPr>
          </w:p>
        </w:tc>
      </w:tr>
      <w:tr w14:paraId="572D3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4C474D7C">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6</w:t>
            </w:r>
          </w:p>
        </w:tc>
        <w:tc>
          <w:tcPr>
            <w:tcW w:w="639" w:type="pct"/>
            <w:vMerge w:val="continue"/>
            <w:tcBorders>
              <w:left w:val="single" w:color="auto" w:sz="4" w:space="0"/>
              <w:right w:val="single" w:color="auto" w:sz="4" w:space="0"/>
              <w:tl2br w:val="nil"/>
              <w:tr2bl w:val="nil"/>
            </w:tcBorders>
            <w:vAlign w:val="center"/>
          </w:tcPr>
          <w:p w14:paraId="11FEA5A4">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6E69DE31">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控制柜</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7C9FC770">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部分线缆、管路等可能需重新采购</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7A0C1C5C">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显示屏、电器元件</w:t>
            </w:r>
          </w:p>
        </w:tc>
        <w:tc>
          <w:tcPr>
            <w:tcW w:w="706" w:type="pct"/>
            <w:vMerge w:val="continue"/>
            <w:tcBorders>
              <w:left w:val="single" w:color="auto" w:sz="4" w:space="0"/>
              <w:right w:val="single" w:color="auto" w:sz="4" w:space="0"/>
              <w:tl2br w:val="nil"/>
              <w:tr2bl w:val="nil"/>
            </w:tcBorders>
            <w:vAlign w:val="center"/>
          </w:tcPr>
          <w:p w14:paraId="106C6A26">
            <w:pPr>
              <w:widowControl/>
              <w:spacing w:line="360" w:lineRule="auto"/>
              <w:ind w:left="402" w:firstLine="382" w:firstLineChars="200"/>
              <w:jc w:val="left"/>
              <w:rPr>
                <w:rFonts w:ascii="宋体" w:hAnsi="宋体" w:eastAsia="宋体" w:cs="宋体"/>
                <w:color w:val="000000"/>
                <w:kern w:val="0"/>
                <w:szCs w:val="21"/>
              </w:rPr>
            </w:pPr>
          </w:p>
        </w:tc>
      </w:tr>
      <w:tr w14:paraId="3ACCF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6AEB9E4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7</w:t>
            </w:r>
          </w:p>
        </w:tc>
        <w:tc>
          <w:tcPr>
            <w:tcW w:w="639" w:type="pct"/>
            <w:vMerge w:val="continue"/>
            <w:tcBorders>
              <w:left w:val="single" w:color="auto" w:sz="4" w:space="0"/>
              <w:bottom w:val="single" w:color="auto" w:sz="4" w:space="0"/>
              <w:right w:val="single" w:color="auto" w:sz="4" w:space="0"/>
              <w:tl2br w:val="nil"/>
              <w:tr2bl w:val="nil"/>
            </w:tcBorders>
            <w:vAlign w:val="center"/>
          </w:tcPr>
          <w:p w14:paraId="6762EFAF">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531A08BB">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储气罐</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1C590255">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可能需更换气路管路</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273BF3B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传感器等设备</w:t>
            </w:r>
          </w:p>
        </w:tc>
        <w:tc>
          <w:tcPr>
            <w:tcW w:w="706" w:type="pct"/>
            <w:vMerge w:val="continue"/>
            <w:tcBorders>
              <w:left w:val="single" w:color="auto" w:sz="4" w:space="0"/>
              <w:bottom w:val="single" w:color="auto" w:sz="4" w:space="0"/>
              <w:right w:val="single" w:color="auto" w:sz="4" w:space="0"/>
              <w:tl2br w:val="nil"/>
              <w:tr2bl w:val="nil"/>
            </w:tcBorders>
            <w:vAlign w:val="center"/>
          </w:tcPr>
          <w:p w14:paraId="56F08F9A">
            <w:pPr>
              <w:widowControl/>
              <w:spacing w:line="360" w:lineRule="auto"/>
              <w:ind w:left="402" w:firstLine="382" w:firstLineChars="200"/>
              <w:jc w:val="left"/>
              <w:rPr>
                <w:rFonts w:ascii="宋体" w:hAnsi="宋体" w:eastAsia="宋体" w:cs="宋体"/>
                <w:color w:val="000000"/>
                <w:kern w:val="0"/>
                <w:szCs w:val="21"/>
              </w:rPr>
            </w:pPr>
          </w:p>
        </w:tc>
      </w:tr>
      <w:tr w14:paraId="642AA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72BDDD0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8</w:t>
            </w:r>
          </w:p>
        </w:tc>
        <w:tc>
          <w:tcPr>
            <w:tcW w:w="639" w:type="pct"/>
            <w:vMerge w:val="restart"/>
            <w:tcBorders>
              <w:top w:val="single" w:color="auto" w:sz="4" w:space="0"/>
              <w:left w:val="single" w:color="auto" w:sz="4" w:space="0"/>
              <w:right w:val="single" w:color="auto" w:sz="4" w:space="0"/>
              <w:tl2br w:val="nil"/>
              <w:tr2bl w:val="nil"/>
            </w:tcBorders>
            <w:shd w:val="clear" w:color="auto" w:fill="BEBEBE"/>
            <w:vAlign w:val="center"/>
          </w:tcPr>
          <w:p w14:paraId="6BEF0285">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座椅头枕强度试验台</w:t>
            </w:r>
          </w:p>
        </w:tc>
        <w:tc>
          <w:tcPr>
            <w:tcW w:w="72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6A9E9CB3">
            <w:pPr>
              <w:widowControl/>
              <w:spacing w:line="360" w:lineRule="auto"/>
              <w:jc w:val="left"/>
              <w:rPr>
                <w:rFonts w:ascii="宋体" w:hAnsi="宋体" w:eastAsia="宋体" w:cs="Times New Roman"/>
                <w:szCs w:val="21"/>
              </w:rPr>
            </w:pPr>
            <w:r>
              <w:rPr>
                <w:rFonts w:hint="eastAsia" w:ascii="宋体" w:hAnsi="宋体" w:eastAsia="宋体" w:cs="宋体"/>
                <w:color w:val="000000"/>
                <w:kern w:val="0"/>
                <w:szCs w:val="21"/>
              </w:rPr>
              <w:t>试验台台体</w:t>
            </w:r>
          </w:p>
        </w:tc>
        <w:tc>
          <w:tcPr>
            <w:tcW w:w="1657" w:type="pct"/>
            <w:tcBorders>
              <w:left w:val="single" w:color="auto" w:sz="4" w:space="0"/>
              <w:right w:val="single" w:color="auto" w:sz="4" w:space="0"/>
              <w:tl2br w:val="nil"/>
              <w:tr2bl w:val="nil"/>
            </w:tcBorders>
            <w:shd w:val="clear" w:color="auto" w:fill="BEBEBE"/>
            <w:vAlign w:val="center"/>
          </w:tcPr>
          <w:p w14:paraId="3CAF9BE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设备线缆可能会损坏更换</w:t>
            </w:r>
          </w:p>
        </w:tc>
        <w:tc>
          <w:tcPr>
            <w:tcW w:w="98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355A91A">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传感器等</w:t>
            </w:r>
          </w:p>
        </w:tc>
        <w:tc>
          <w:tcPr>
            <w:tcW w:w="70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68337C15">
            <w:pPr>
              <w:widowControl/>
              <w:spacing w:line="360" w:lineRule="auto"/>
              <w:ind w:left="402" w:firstLine="382" w:firstLineChars="200"/>
              <w:jc w:val="left"/>
              <w:rPr>
                <w:rFonts w:ascii="宋体" w:hAnsi="宋体" w:eastAsia="宋体" w:cs="宋体"/>
                <w:color w:val="000000"/>
                <w:kern w:val="0"/>
                <w:szCs w:val="21"/>
              </w:rPr>
            </w:pPr>
          </w:p>
        </w:tc>
      </w:tr>
      <w:tr w14:paraId="3237E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28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75F8AC66">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9</w:t>
            </w:r>
          </w:p>
        </w:tc>
        <w:tc>
          <w:tcPr>
            <w:tcW w:w="639" w:type="pct"/>
            <w:vMerge w:val="continue"/>
            <w:tcBorders>
              <w:left w:val="single" w:color="auto" w:sz="4" w:space="0"/>
              <w:right w:val="single" w:color="auto" w:sz="4" w:space="0"/>
              <w:tl2br w:val="nil"/>
              <w:tr2bl w:val="nil"/>
            </w:tcBorders>
            <w:shd w:val="clear" w:color="auto" w:fill="BEBEBE"/>
            <w:vAlign w:val="center"/>
          </w:tcPr>
          <w:p w14:paraId="7502A0FF">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6FDB5C91">
            <w:pPr>
              <w:widowControl/>
              <w:spacing w:line="360" w:lineRule="auto"/>
              <w:jc w:val="left"/>
              <w:rPr>
                <w:rFonts w:ascii="宋体" w:hAnsi="宋体" w:eastAsia="宋体" w:cs="Times New Roman"/>
                <w:szCs w:val="21"/>
              </w:rPr>
            </w:pPr>
            <w:r>
              <w:rPr>
                <w:rFonts w:hint="eastAsia" w:ascii="宋体" w:hAnsi="宋体" w:eastAsia="宋体" w:cs="宋体"/>
                <w:color w:val="000000"/>
                <w:kern w:val="0"/>
                <w:szCs w:val="21"/>
              </w:rPr>
              <w:t>铁地板</w:t>
            </w:r>
          </w:p>
        </w:tc>
        <w:tc>
          <w:tcPr>
            <w:tcW w:w="1657" w:type="pct"/>
            <w:tcBorders>
              <w:left w:val="single" w:color="auto" w:sz="4" w:space="0"/>
              <w:right w:val="single" w:color="auto" w:sz="4" w:space="0"/>
              <w:tl2br w:val="nil"/>
              <w:tr2bl w:val="nil"/>
            </w:tcBorders>
            <w:shd w:val="clear" w:color="auto" w:fill="BEBEBE"/>
            <w:vAlign w:val="center"/>
          </w:tcPr>
          <w:p w14:paraId="3911EE12">
            <w:pPr>
              <w:widowControl/>
              <w:spacing w:line="360" w:lineRule="auto"/>
              <w:jc w:val="center"/>
              <w:rPr>
                <w:rFonts w:ascii="宋体" w:hAnsi="宋体" w:eastAsia="宋体" w:cs="宋体"/>
                <w:color w:val="000000"/>
                <w:kern w:val="0"/>
                <w:szCs w:val="21"/>
              </w:rPr>
            </w:pPr>
            <w:r>
              <w:rPr>
                <w:rFonts w:hint="eastAsia" w:ascii="宋体" w:hAnsi="宋体" w:eastAsia="宋体" w:cs="宋体"/>
                <w:color w:val="000000"/>
                <w:kern w:val="0"/>
                <w:szCs w:val="21"/>
              </w:rPr>
              <w:t>\</w:t>
            </w:r>
          </w:p>
        </w:tc>
        <w:tc>
          <w:tcPr>
            <w:tcW w:w="98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1F92701F">
            <w:pPr>
              <w:widowControl/>
              <w:spacing w:line="360" w:lineRule="auto"/>
              <w:jc w:val="center"/>
              <w:rPr>
                <w:rFonts w:ascii="宋体" w:hAnsi="宋体" w:eastAsia="宋体" w:cs="宋体"/>
                <w:color w:val="000000"/>
                <w:kern w:val="0"/>
                <w:szCs w:val="21"/>
              </w:rPr>
            </w:pPr>
            <w:r>
              <w:rPr>
                <w:rFonts w:hint="eastAsia" w:ascii="宋体" w:hAnsi="宋体" w:eastAsia="宋体" w:cs="宋体"/>
                <w:color w:val="000000"/>
                <w:kern w:val="0"/>
                <w:szCs w:val="21"/>
              </w:rPr>
              <w:t>\</w:t>
            </w:r>
          </w:p>
        </w:tc>
        <w:tc>
          <w:tcPr>
            <w:tcW w:w="70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7E22DB21">
            <w:pPr>
              <w:widowControl/>
              <w:spacing w:line="360" w:lineRule="auto"/>
              <w:ind w:left="402" w:firstLine="382" w:firstLineChars="200"/>
              <w:jc w:val="left"/>
              <w:rPr>
                <w:rFonts w:ascii="宋体" w:hAnsi="宋体" w:eastAsia="宋体" w:cs="宋体"/>
                <w:color w:val="000000"/>
                <w:kern w:val="0"/>
                <w:szCs w:val="21"/>
              </w:rPr>
            </w:pPr>
          </w:p>
        </w:tc>
      </w:tr>
      <w:tr w14:paraId="44EF4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E1B36E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10</w:t>
            </w:r>
          </w:p>
        </w:tc>
        <w:tc>
          <w:tcPr>
            <w:tcW w:w="639" w:type="pct"/>
            <w:vMerge w:val="continue"/>
            <w:tcBorders>
              <w:left w:val="single" w:color="auto" w:sz="4" w:space="0"/>
              <w:right w:val="single" w:color="auto" w:sz="4" w:space="0"/>
              <w:tl2br w:val="nil"/>
              <w:tr2bl w:val="nil"/>
            </w:tcBorders>
            <w:shd w:val="clear" w:color="auto" w:fill="BEBEBE"/>
            <w:vAlign w:val="center"/>
          </w:tcPr>
          <w:p w14:paraId="5C3BB5DD">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8933588">
            <w:pPr>
              <w:widowControl/>
              <w:spacing w:line="360" w:lineRule="auto"/>
              <w:jc w:val="left"/>
              <w:rPr>
                <w:rFonts w:ascii="宋体" w:hAnsi="宋体" w:eastAsia="宋体" w:cs="Times New Roman"/>
                <w:szCs w:val="21"/>
              </w:rPr>
            </w:pPr>
            <w:r>
              <w:rPr>
                <w:rFonts w:hint="eastAsia" w:ascii="宋体" w:hAnsi="宋体" w:eastAsia="宋体" w:cs="宋体"/>
                <w:color w:val="000000"/>
                <w:kern w:val="0"/>
                <w:szCs w:val="21"/>
              </w:rPr>
              <w:t>控制柜</w:t>
            </w:r>
          </w:p>
        </w:tc>
        <w:tc>
          <w:tcPr>
            <w:tcW w:w="1657" w:type="pct"/>
            <w:tcBorders>
              <w:left w:val="single" w:color="auto" w:sz="4" w:space="0"/>
              <w:right w:val="single" w:color="auto" w:sz="4" w:space="0"/>
              <w:tl2br w:val="nil"/>
              <w:tr2bl w:val="nil"/>
            </w:tcBorders>
            <w:shd w:val="clear" w:color="auto" w:fill="BEBEBE"/>
            <w:vAlign w:val="center"/>
          </w:tcPr>
          <w:p w14:paraId="38E98C98">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设备线缆可能会损坏更换</w:t>
            </w:r>
          </w:p>
        </w:tc>
        <w:tc>
          <w:tcPr>
            <w:tcW w:w="98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4B98C16E">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显示屏、电器元件</w:t>
            </w:r>
          </w:p>
        </w:tc>
        <w:tc>
          <w:tcPr>
            <w:tcW w:w="70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F23C367">
            <w:pPr>
              <w:widowControl/>
              <w:spacing w:line="360" w:lineRule="auto"/>
              <w:ind w:left="402" w:firstLine="382" w:firstLineChars="200"/>
              <w:jc w:val="left"/>
              <w:rPr>
                <w:rFonts w:ascii="宋体" w:hAnsi="宋体" w:eastAsia="宋体" w:cs="宋体"/>
                <w:color w:val="000000"/>
                <w:kern w:val="0"/>
                <w:szCs w:val="21"/>
              </w:rPr>
            </w:pPr>
          </w:p>
        </w:tc>
      </w:tr>
      <w:tr w14:paraId="143A4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29D07F25">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11</w:t>
            </w:r>
          </w:p>
        </w:tc>
        <w:tc>
          <w:tcPr>
            <w:tcW w:w="639" w:type="pct"/>
            <w:vMerge w:val="continue"/>
            <w:tcBorders>
              <w:left w:val="single" w:color="auto" w:sz="4" w:space="0"/>
              <w:bottom w:val="single" w:color="auto" w:sz="4" w:space="0"/>
              <w:right w:val="single" w:color="auto" w:sz="4" w:space="0"/>
              <w:tl2br w:val="nil"/>
              <w:tr2bl w:val="nil"/>
            </w:tcBorders>
            <w:shd w:val="clear" w:color="auto" w:fill="BEBEBE"/>
            <w:vAlign w:val="center"/>
          </w:tcPr>
          <w:p w14:paraId="238C1364">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3E3F3BA5">
            <w:pPr>
              <w:widowControl/>
              <w:spacing w:line="360" w:lineRule="auto"/>
              <w:jc w:val="left"/>
              <w:rPr>
                <w:rFonts w:ascii="宋体" w:hAnsi="宋体" w:eastAsia="宋体" w:cs="Times New Roman"/>
                <w:szCs w:val="21"/>
              </w:rPr>
            </w:pPr>
            <w:r>
              <w:rPr>
                <w:rFonts w:hint="eastAsia" w:ascii="宋体" w:hAnsi="宋体" w:eastAsia="宋体" w:cs="宋体"/>
                <w:color w:val="000000"/>
                <w:kern w:val="0"/>
                <w:szCs w:val="21"/>
              </w:rPr>
              <w:t>围栏</w:t>
            </w:r>
          </w:p>
        </w:tc>
        <w:tc>
          <w:tcPr>
            <w:tcW w:w="1657" w:type="pct"/>
            <w:tcBorders>
              <w:left w:val="single" w:color="auto" w:sz="4" w:space="0"/>
              <w:right w:val="single" w:color="auto" w:sz="4" w:space="0"/>
              <w:tl2br w:val="nil"/>
              <w:tr2bl w:val="nil"/>
            </w:tcBorders>
            <w:shd w:val="clear" w:color="auto" w:fill="BEBEBE"/>
            <w:vAlign w:val="center"/>
          </w:tcPr>
          <w:p w14:paraId="1ABF0BA2">
            <w:pPr>
              <w:widowControl/>
              <w:spacing w:line="360" w:lineRule="auto"/>
              <w:jc w:val="center"/>
              <w:rPr>
                <w:rFonts w:ascii="宋体" w:hAnsi="宋体" w:eastAsia="宋体" w:cs="宋体"/>
                <w:color w:val="000000"/>
                <w:kern w:val="0"/>
                <w:szCs w:val="21"/>
              </w:rPr>
            </w:pPr>
            <w:r>
              <w:rPr>
                <w:rFonts w:hint="eastAsia" w:ascii="宋体" w:hAnsi="宋体" w:eastAsia="宋体" w:cs="宋体"/>
                <w:color w:val="000000"/>
                <w:kern w:val="0"/>
                <w:szCs w:val="21"/>
              </w:rPr>
              <w:t>\</w:t>
            </w:r>
          </w:p>
        </w:tc>
        <w:tc>
          <w:tcPr>
            <w:tcW w:w="988"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58EC8680">
            <w:pPr>
              <w:widowControl/>
              <w:spacing w:line="360" w:lineRule="auto"/>
              <w:jc w:val="center"/>
              <w:rPr>
                <w:rFonts w:ascii="宋体" w:hAnsi="宋体" w:eastAsia="宋体" w:cs="宋体"/>
                <w:color w:val="000000"/>
                <w:kern w:val="0"/>
                <w:szCs w:val="21"/>
              </w:rPr>
            </w:pPr>
            <w:r>
              <w:rPr>
                <w:rFonts w:hint="eastAsia" w:ascii="宋体" w:hAnsi="宋体" w:eastAsia="宋体" w:cs="宋体"/>
                <w:color w:val="000000"/>
                <w:kern w:val="0"/>
                <w:szCs w:val="21"/>
              </w:rPr>
              <w:t>\</w:t>
            </w:r>
          </w:p>
        </w:tc>
        <w:tc>
          <w:tcPr>
            <w:tcW w:w="706" w:type="pct"/>
            <w:tcBorders>
              <w:top w:val="single" w:color="auto" w:sz="4" w:space="0"/>
              <w:left w:val="single" w:color="auto" w:sz="4" w:space="0"/>
              <w:bottom w:val="single" w:color="auto" w:sz="4" w:space="0"/>
              <w:right w:val="single" w:color="auto" w:sz="4" w:space="0"/>
              <w:tl2br w:val="nil"/>
              <w:tr2bl w:val="nil"/>
            </w:tcBorders>
            <w:shd w:val="clear" w:color="auto" w:fill="BEBEBE"/>
            <w:vAlign w:val="center"/>
          </w:tcPr>
          <w:p w14:paraId="45B0B66F">
            <w:pPr>
              <w:widowControl/>
              <w:spacing w:line="360" w:lineRule="auto"/>
              <w:ind w:left="402" w:firstLine="382" w:firstLineChars="200"/>
              <w:jc w:val="left"/>
              <w:rPr>
                <w:rFonts w:ascii="宋体" w:hAnsi="宋体" w:eastAsia="宋体" w:cs="宋体"/>
                <w:color w:val="000000"/>
                <w:kern w:val="0"/>
                <w:szCs w:val="21"/>
              </w:rPr>
            </w:pPr>
          </w:p>
        </w:tc>
      </w:tr>
      <w:tr w14:paraId="2D490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1595D2B5">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12</w:t>
            </w:r>
          </w:p>
        </w:tc>
        <w:tc>
          <w:tcPr>
            <w:tcW w:w="639"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02127BF4">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多楔带疲劳试验台</w:t>
            </w: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127764FC">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设备本体</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2ED9877B">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设备线缆可能会损坏更换</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09EB3618">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传感器等</w:t>
            </w:r>
          </w:p>
        </w:tc>
        <w:tc>
          <w:tcPr>
            <w:tcW w:w="706"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378713C6">
            <w:pPr>
              <w:widowControl/>
              <w:spacing w:line="360" w:lineRule="auto"/>
              <w:ind w:left="402" w:firstLine="382" w:firstLineChars="200"/>
              <w:jc w:val="left"/>
              <w:rPr>
                <w:rFonts w:ascii="宋体" w:hAnsi="宋体" w:eastAsia="宋体" w:cs="宋体"/>
                <w:color w:val="000000"/>
                <w:kern w:val="0"/>
                <w:szCs w:val="21"/>
              </w:rPr>
            </w:pPr>
            <w:r>
              <w:rPr>
                <w:rFonts w:hint="eastAsia" w:ascii="宋体" w:hAnsi="宋体" w:eastAsia="宋体" w:cs="宋体"/>
                <w:color w:val="000000"/>
                <w:kern w:val="0"/>
                <w:szCs w:val="21"/>
              </w:rPr>
              <w:t>　</w:t>
            </w:r>
          </w:p>
        </w:tc>
      </w:tr>
      <w:tr w14:paraId="04905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235024B2">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13</w:t>
            </w:r>
          </w:p>
        </w:tc>
        <w:tc>
          <w:tcPr>
            <w:tcW w:w="639"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15A36A0">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26EFF359">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配重及工装</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3709DEB2">
            <w:pPr>
              <w:widowControl/>
              <w:spacing w:line="360" w:lineRule="auto"/>
              <w:jc w:val="left"/>
              <w:rPr>
                <w:rFonts w:ascii="宋体" w:hAnsi="宋体" w:eastAsia="宋体" w:cs="宋体"/>
                <w:color w:val="000000"/>
                <w:kern w:val="0"/>
                <w:szCs w:val="21"/>
              </w:rPr>
            </w:pP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08A2AE89">
            <w:pPr>
              <w:widowControl/>
              <w:spacing w:line="360" w:lineRule="auto"/>
              <w:jc w:val="left"/>
              <w:rPr>
                <w:rFonts w:ascii="宋体" w:hAnsi="宋体" w:eastAsia="宋体" w:cs="宋体"/>
                <w:color w:val="000000"/>
                <w:kern w:val="0"/>
                <w:szCs w:val="21"/>
              </w:rPr>
            </w:pPr>
          </w:p>
        </w:tc>
        <w:tc>
          <w:tcPr>
            <w:tcW w:w="706"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30A7BA2">
            <w:pPr>
              <w:widowControl/>
              <w:spacing w:line="360" w:lineRule="auto"/>
              <w:ind w:left="402" w:firstLine="382" w:firstLineChars="200"/>
              <w:jc w:val="left"/>
              <w:rPr>
                <w:rFonts w:ascii="宋体" w:hAnsi="宋体" w:eastAsia="宋体" w:cs="宋体"/>
                <w:color w:val="000000"/>
                <w:kern w:val="0"/>
                <w:szCs w:val="21"/>
              </w:rPr>
            </w:pPr>
          </w:p>
        </w:tc>
      </w:tr>
      <w:tr w14:paraId="6C8AB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283" w:type="pct"/>
            <w:tcBorders>
              <w:top w:val="single" w:color="auto" w:sz="4" w:space="0"/>
              <w:left w:val="single" w:color="auto" w:sz="4" w:space="0"/>
              <w:bottom w:val="single" w:color="auto" w:sz="4" w:space="0"/>
              <w:right w:val="single" w:color="auto" w:sz="4" w:space="0"/>
              <w:tl2br w:val="nil"/>
              <w:tr2bl w:val="nil"/>
            </w:tcBorders>
            <w:vAlign w:val="center"/>
          </w:tcPr>
          <w:p w14:paraId="5E8792C0">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14</w:t>
            </w:r>
          </w:p>
        </w:tc>
        <w:tc>
          <w:tcPr>
            <w:tcW w:w="639"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2EE97E6">
            <w:pPr>
              <w:widowControl/>
              <w:spacing w:line="360" w:lineRule="auto"/>
              <w:jc w:val="left"/>
              <w:rPr>
                <w:rFonts w:ascii="宋体" w:hAnsi="宋体" w:eastAsia="宋体" w:cs="宋体"/>
                <w:color w:val="000000"/>
                <w:kern w:val="0"/>
                <w:szCs w:val="21"/>
              </w:rPr>
            </w:pPr>
          </w:p>
        </w:tc>
        <w:tc>
          <w:tcPr>
            <w:tcW w:w="728" w:type="pct"/>
            <w:tcBorders>
              <w:top w:val="single" w:color="auto" w:sz="4" w:space="0"/>
              <w:left w:val="single" w:color="auto" w:sz="4" w:space="0"/>
              <w:bottom w:val="single" w:color="auto" w:sz="4" w:space="0"/>
              <w:right w:val="single" w:color="auto" w:sz="4" w:space="0"/>
              <w:tl2br w:val="nil"/>
              <w:tr2bl w:val="nil"/>
            </w:tcBorders>
            <w:vAlign w:val="center"/>
          </w:tcPr>
          <w:p w14:paraId="11DE9CA5">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控制柜(</w:t>
            </w:r>
          </w:p>
        </w:tc>
        <w:tc>
          <w:tcPr>
            <w:tcW w:w="1657" w:type="pct"/>
            <w:tcBorders>
              <w:top w:val="single" w:color="auto" w:sz="4" w:space="0"/>
              <w:left w:val="single" w:color="auto" w:sz="4" w:space="0"/>
              <w:bottom w:val="single" w:color="auto" w:sz="4" w:space="0"/>
              <w:right w:val="single" w:color="auto" w:sz="4" w:space="0"/>
              <w:tl2br w:val="nil"/>
              <w:tr2bl w:val="nil"/>
            </w:tcBorders>
            <w:vAlign w:val="center"/>
          </w:tcPr>
          <w:p w14:paraId="024542BB">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设备线缆可能会损坏更换</w:t>
            </w:r>
          </w:p>
        </w:tc>
        <w:tc>
          <w:tcPr>
            <w:tcW w:w="988" w:type="pct"/>
            <w:tcBorders>
              <w:top w:val="single" w:color="auto" w:sz="4" w:space="0"/>
              <w:left w:val="single" w:color="auto" w:sz="4" w:space="0"/>
              <w:bottom w:val="single" w:color="auto" w:sz="4" w:space="0"/>
              <w:right w:val="single" w:color="auto" w:sz="4" w:space="0"/>
              <w:tl2br w:val="nil"/>
              <w:tr2bl w:val="nil"/>
            </w:tcBorders>
            <w:vAlign w:val="center"/>
          </w:tcPr>
          <w:p w14:paraId="7334B103">
            <w:pPr>
              <w:widowControl/>
              <w:spacing w:line="360" w:lineRule="auto"/>
              <w:jc w:val="left"/>
              <w:rPr>
                <w:rFonts w:ascii="宋体" w:hAnsi="宋体" w:eastAsia="宋体" w:cs="宋体"/>
                <w:color w:val="000000"/>
                <w:kern w:val="0"/>
                <w:szCs w:val="21"/>
              </w:rPr>
            </w:pPr>
            <w:r>
              <w:rPr>
                <w:rFonts w:hint="eastAsia" w:ascii="宋体" w:hAnsi="宋体" w:eastAsia="宋体" w:cs="宋体"/>
                <w:color w:val="000000"/>
                <w:kern w:val="0"/>
                <w:szCs w:val="21"/>
              </w:rPr>
              <w:t>显示屏、电器元件</w:t>
            </w:r>
          </w:p>
        </w:tc>
        <w:tc>
          <w:tcPr>
            <w:tcW w:w="706"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D6B7068">
            <w:pPr>
              <w:widowControl/>
              <w:spacing w:line="360" w:lineRule="auto"/>
              <w:ind w:left="402" w:firstLine="382" w:firstLineChars="200"/>
              <w:jc w:val="left"/>
              <w:rPr>
                <w:rFonts w:ascii="宋体" w:hAnsi="宋体" w:eastAsia="宋体" w:cs="宋体"/>
                <w:color w:val="000000"/>
                <w:kern w:val="0"/>
                <w:szCs w:val="21"/>
              </w:rPr>
            </w:pPr>
          </w:p>
        </w:tc>
      </w:tr>
    </w:tbl>
    <w:p w14:paraId="2C8BA706">
      <w:pPr>
        <w:widowControl/>
        <w:spacing w:line="360" w:lineRule="auto"/>
        <w:ind w:firstLine="442" w:firstLineChars="200"/>
        <w:jc w:val="left"/>
        <w:rPr>
          <w:rFonts w:ascii="宋体" w:hAnsi="宋体" w:eastAsia="宋体" w:cs="宋体"/>
          <w:b/>
          <w:color w:val="000000"/>
          <w:sz w:val="24"/>
          <w:szCs w:val="24"/>
        </w:rPr>
      </w:pPr>
      <w:r>
        <w:rPr>
          <w:rFonts w:hint="eastAsia" w:ascii="宋体" w:hAnsi="宋体" w:eastAsia="宋体" w:cs="宋体"/>
          <w:b/>
          <w:color w:val="000000"/>
          <w:sz w:val="24"/>
          <w:szCs w:val="24"/>
        </w:rPr>
        <w:t>备注：</w:t>
      </w:r>
    </w:p>
    <w:p w14:paraId="0DD94035">
      <w:pPr>
        <w:widowControl/>
        <w:numPr>
          <w:ilvl w:val="0"/>
          <w:numId w:val="20"/>
        </w:numPr>
        <w:spacing w:line="360" w:lineRule="auto"/>
        <w:ind w:firstLine="442"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本表所列采购货物/服务仅为货物/服务的主要构成部分，应配套供货以及招标方所列其它货物和服务，请投标方认真阅读“供货范围”。若有异议，不管是多么微小，都应在投标文件“商务偏离”章节中予以详细说明。</w:t>
      </w:r>
    </w:p>
    <w:p w14:paraId="5B2F1C35">
      <w:pPr>
        <w:widowControl/>
        <w:numPr>
          <w:ilvl w:val="0"/>
          <w:numId w:val="20"/>
        </w:numPr>
        <w:spacing w:line="360" w:lineRule="auto"/>
        <w:ind w:firstLine="442"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水气管路、阀门阀板、电缆线束根据实际情况利旧或新建。</w:t>
      </w:r>
    </w:p>
    <w:p w14:paraId="6153AB59">
      <w:pPr>
        <w:widowControl/>
        <w:numPr>
          <w:ilvl w:val="0"/>
          <w:numId w:val="20"/>
        </w:numPr>
        <w:spacing w:line="360" w:lineRule="auto"/>
        <w:ind w:firstLine="442"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本表“供货方式”指：交钥匙方式——投标方负责试验台的拆解、打包、装车运输、卸车、搬运到指定位置、更换试验台必要新件、安装等相关工作。</w:t>
      </w:r>
    </w:p>
    <w:p w14:paraId="5BBBD501">
      <w:pPr>
        <w:widowControl/>
        <w:spacing w:line="360" w:lineRule="auto"/>
        <w:ind w:left="442" w:firstLine="442" w:firstLineChars="200"/>
        <w:jc w:val="left"/>
        <w:rPr>
          <w:rFonts w:ascii="宋体" w:hAnsi="宋体" w:eastAsia="宋体" w:cs="宋体"/>
          <w:sz w:val="24"/>
          <w:szCs w:val="24"/>
        </w:rPr>
      </w:pPr>
    </w:p>
    <w:p w14:paraId="073307A3">
      <w:pPr>
        <w:keepNext/>
        <w:keepLines/>
        <w:widowControl/>
        <w:tabs>
          <w:tab w:val="left" w:pos="425"/>
        </w:tabs>
        <w:spacing w:before="340" w:after="330" w:line="360" w:lineRule="auto"/>
        <w:ind w:left="443" w:firstLine="442" w:firstLineChars="200"/>
        <w:jc w:val="center"/>
        <w:outlineLvl w:val="0"/>
        <w:rPr>
          <w:rFonts w:ascii="宋体" w:hAnsi="宋体" w:eastAsia="宋体" w:cs="宋体"/>
          <w:b/>
          <w:bCs/>
          <w:kern w:val="44"/>
          <w:sz w:val="24"/>
          <w:szCs w:val="24"/>
          <w:lang w:val="zh-CN"/>
        </w:rPr>
        <w:sectPr>
          <w:pgSz w:w="16838" w:h="11906" w:orient="landscape"/>
          <w:pgMar w:top="1077" w:right="1440" w:bottom="1077" w:left="1440" w:header="851" w:footer="992" w:gutter="0"/>
          <w:cols w:space="720" w:num="1"/>
          <w:docGrid w:type="linesAndChars" w:linePitch="312" w:charSpace="-3931"/>
        </w:sectPr>
      </w:pPr>
    </w:p>
    <w:p w14:paraId="4C1F9168">
      <w:pPr>
        <w:widowControl/>
        <w:spacing w:line="360" w:lineRule="auto"/>
        <w:ind w:firstLine="480" w:firstLineChars="200"/>
        <w:jc w:val="left"/>
        <w:rPr>
          <w:rFonts w:ascii="Times New Roman" w:hAnsi="Times New Roman" w:eastAsia="宋体" w:cs="Times New Roman"/>
          <w:sz w:val="24"/>
          <w:szCs w:val="20"/>
        </w:rPr>
      </w:pPr>
      <w:bookmarkStart w:id="41" w:name="_Toc142724999"/>
      <w:r>
        <w:rPr>
          <w:rFonts w:hint="eastAsia" w:ascii="Times New Roman" w:hAnsi="Times New Roman" w:eastAsia="宋体" w:cs="Times New Roman"/>
          <w:sz w:val="24"/>
          <w:szCs w:val="20"/>
        </w:rPr>
        <w:drawing>
          <wp:inline distT="0" distB="0" distL="0" distR="0">
            <wp:extent cx="5283835" cy="7441565"/>
            <wp:effectExtent l="0" t="0" r="0" b="6985"/>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a:blip r:embed="rId46">
                      <a:extLst>
                        <a:ext uri="{28A0092B-C50C-407E-A947-70E740481C1C}">
                          <a14:useLocalDpi xmlns:a14="http://schemas.microsoft.com/office/drawing/2010/main" val="0"/>
                        </a:ext>
                      </a:extLst>
                    </a:blip>
                    <a:srcRect t="6358"/>
                    <a:stretch>
                      <a:fillRect/>
                    </a:stretch>
                  </pic:blipFill>
                  <pic:spPr>
                    <a:xfrm>
                      <a:off x="0" y="0"/>
                      <a:ext cx="5289924" cy="7449537"/>
                    </a:xfrm>
                    <a:prstGeom prst="rect">
                      <a:avLst/>
                    </a:prstGeom>
                    <a:noFill/>
                    <a:ln>
                      <a:noFill/>
                    </a:ln>
                  </pic:spPr>
                </pic:pic>
              </a:graphicData>
            </a:graphic>
          </wp:inline>
        </w:drawing>
      </w:r>
    </w:p>
    <w:p w14:paraId="47064C28">
      <w:pPr>
        <w:widowControl/>
        <w:spacing w:line="360" w:lineRule="auto"/>
        <w:ind w:firstLine="480" w:firstLineChars="200"/>
        <w:jc w:val="left"/>
        <w:rPr>
          <w:rFonts w:ascii="Times New Roman" w:hAnsi="Times New Roman" w:eastAsia="宋体" w:cs="Times New Roman"/>
          <w:sz w:val="24"/>
          <w:szCs w:val="20"/>
        </w:rPr>
      </w:pPr>
      <w:r>
        <w:rPr>
          <w:rFonts w:ascii="Times New Roman" w:hAnsi="Times New Roman" w:eastAsia="宋体" w:cs="Times New Roman"/>
          <w:sz w:val="24"/>
          <w:szCs w:val="20"/>
        </w:rPr>
        <w:br w:type="page"/>
      </w:r>
    </w:p>
    <w:p w14:paraId="15491DC5">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迁入地点初步布局图：</w:t>
      </w:r>
    </w:p>
    <w:p w14:paraId="3F996654">
      <w:pPr>
        <w:widowControl/>
        <w:spacing w:line="360" w:lineRule="auto"/>
        <w:ind w:firstLine="480" w:firstLineChars="200"/>
        <w:jc w:val="center"/>
        <w:rPr>
          <w:rFonts w:ascii="Times New Roman" w:hAnsi="Times New Roman" w:eastAsia="宋体" w:cs="Times New Roman"/>
          <w:sz w:val="24"/>
          <w:szCs w:val="20"/>
        </w:rPr>
      </w:pPr>
      <w:r>
        <w:rPr>
          <w:rFonts w:ascii="Times New Roman" w:hAnsi="Times New Roman" w:eastAsia="宋体" w:cs="Times New Roman"/>
          <w:sz w:val="24"/>
          <w:szCs w:val="20"/>
        </w:rPr>
        <w:drawing>
          <wp:inline distT="0" distB="0" distL="0" distR="0">
            <wp:extent cx="4066540" cy="3549650"/>
            <wp:effectExtent l="0" t="0" r="0" b="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pic:cNvPicPr>
                  </pic:nvPicPr>
                  <pic:blipFill>
                    <a:blip r:embed="rId47"/>
                    <a:stretch>
                      <a:fillRect/>
                    </a:stretch>
                  </pic:blipFill>
                  <pic:spPr>
                    <a:xfrm>
                      <a:off x="0" y="0"/>
                      <a:ext cx="4074177" cy="3556418"/>
                    </a:xfrm>
                    <a:prstGeom prst="rect">
                      <a:avLst/>
                    </a:prstGeom>
                  </pic:spPr>
                </pic:pic>
              </a:graphicData>
            </a:graphic>
          </wp:inline>
        </w:drawing>
      </w:r>
    </w:p>
    <w:p w14:paraId="0D32FA96">
      <w:pPr>
        <w:widowControl/>
        <w:spacing w:line="360" w:lineRule="auto"/>
        <w:ind w:firstLine="480" w:firstLineChars="200"/>
        <w:jc w:val="left"/>
        <w:rPr>
          <w:rFonts w:ascii="Times New Roman" w:hAnsi="Times New Roman" w:eastAsia="宋体" w:cs="Times New Roman"/>
          <w:sz w:val="24"/>
          <w:szCs w:val="20"/>
        </w:rPr>
      </w:pPr>
      <w:r>
        <w:rPr>
          <w:rFonts w:ascii="Times New Roman" w:hAnsi="Times New Roman" w:eastAsia="宋体" w:cs="Times New Roman"/>
          <w:sz w:val="24"/>
          <w:szCs w:val="20"/>
        </w:rPr>
        <w:drawing>
          <wp:inline distT="0" distB="0" distL="0" distR="0">
            <wp:extent cx="5910580" cy="3943985"/>
            <wp:effectExtent l="0" t="0" r="0" b="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pic:cNvPicPr>
                  </pic:nvPicPr>
                  <pic:blipFill>
                    <a:blip r:embed="rId48"/>
                    <a:stretch>
                      <a:fillRect/>
                    </a:stretch>
                  </pic:blipFill>
                  <pic:spPr>
                    <a:xfrm>
                      <a:off x="0" y="0"/>
                      <a:ext cx="5915087" cy="3946938"/>
                    </a:xfrm>
                    <a:prstGeom prst="rect">
                      <a:avLst/>
                    </a:prstGeom>
                  </pic:spPr>
                </pic:pic>
              </a:graphicData>
            </a:graphic>
          </wp:inline>
        </w:drawing>
      </w:r>
    </w:p>
    <w:p w14:paraId="16B3EAE2">
      <w:pPr>
        <w:pStyle w:val="3"/>
        <w:rPr>
          <w:lang w:val="zh-CN"/>
        </w:rPr>
      </w:pPr>
      <w:bookmarkStart w:id="42" w:name="_Toc200435294"/>
      <w:r>
        <w:rPr>
          <w:rFonts w:hint="eastAsia"/>
          <w:lang w:val="zh-CN"/>
        </w:rPr>
        <w:t>技术要求</w:t>
      </w:r>
      <w:bookmarkEnd w:id="41"/>
      <w:bookmarkEnd w:id="42"/>
    </w:p>
    <w:p w14:paraId="47DA84BE">
      <w:pPr>
        <w:keepNext/>
        <w:keepLines/>
        <w:widowControl/>
        <w:spacing w:line="360" w:lineRule="auto"/>
        <w:ind w:left="420" w:hanging="420"/>
        <w:jc w:val="center"/>
        <w:outlineLvl w:val="1"/>
        <w:rPr>
          <w:rFonts w:ascii="Arial" w:hAnsi="Arial" w:eastAsia="黑体" w:cs="Times New Roman"/>
          <w:b/>
          <w:bCs/>
          <w:sz w:val="28"/>
          <w:szCs w:val="32"/>
          <w:lang w:val="zh-CN"/>
        </w:rPr>
      </w:pPr>
      <w:r>
        <w:rPr>
          <w:rFonts w:hint="eastAsia" w:ascii="Arial" w:hAnsi="Arial" w:eastAsia="黑体" w:cs="Times New Roman"/>
          <w:b/>
          <w:bCs/>
          <w:sz w:val="28"/>
          <w:szCs w:val="32"/>
          <w:lang w:val="zh-CN"/>
        </w:rPr>
        <w:t>特别提示</w:t>
      </w:r>
    </w:p>
    <w:p w14:paraId="6D687A16">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1.本章技术要求，仅对功能、设计、结构、性能、安装和试验检验等方面，提出了最低和一般性的技术要求，并未对一切技术细节作出规定。</w:t>
      </w:r>
    </w:p>
    <w:p w14:paraId="6FC62B8A">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2.本技术要求所使用的标准、规范等，如与投标方所执行的标准、规范不一致时，应按高于本技术要求所列的标准、规范执行。</w:t>
      </w:r>
    </w:p>
    <w:p w14:paraId="75B24876">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3.投标方认为所供货物/服务必需由招标方配备、解决或提供的其它要求，如设备基础隔振和减振设施、软化水、洁净气源等，均应在投标文件“技术偏离”中予以充分说明。</w:t>
      </w:r>
    </w:p>
    <w:p w14:paraId="577334A8">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4.投标方应根据招投标货物/服务具体要求，提出对厂房、设备基础（或安装平台）、公用设施、消防、环保等超出招标文件、投标文件、答疑文件、技术交流文件、技术协议书和合同等规定的、有特殊需要的解释、说明和要求。</w:t>
      </w:r>
    </w:p>
    <w:p w14:paraId="13E821EB">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5.无论是否有技术偏离，投标方均应在投标文件“技术偏离”中明确作出有无说明。若有异议，不管是多么微小，投标方必须予以明确和详细的说明或澄清。</w:t>
      </w:r>
    </w:p>
    <w:p w14:paraId="2E427D49">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6.为避免投标方优势在招标评审时漏项，质保期超出本技术标书要求的，应当在投标文件“技术偏离”中特别注明。</w:t>
      </w:r>
    </w:p>
    <w:p w14:paraId="30B4675F">
      <w:pPr>
        <w:keepNext/>
        <w:keepLines/>
        <w:widowControl/>
        <w:spacing w:line="360" w:lineRule="auto"/>
        <w:ind w:left="420" w:hanging="420"/>
        <w:jc w:val="center"/>
        <w:outlineLvl w:val="1"/>
        <w:rPr>
          <w:rFonts w:ascii="Arial" w:hAnsi="Arial" w:eastAsia="宋体" w:cs="Times New Roman"/>
          <w:b/>
          <w:bCs/>
          <w:sz w:val="24"/>
          <w:szCs w:val="32"/>
          <w:lang w:val="zh-CN"/>
        </w:rPr>
      </w:pPr>
      <w:r>
        <w:rPr>
          <w:rFonts w:hint="eastAsia" w:ascii="Arial" w:hAnsi="Arial" w:eastAsia="黑体" w:cs="Times New Roman"/>
          <w:b/>
          <w:bCs/>
          <w:sz w:val="28"/>
          <w:szCs w:val="32"/>
          <w:lang w:val="zh-CN"/>
        </w:rPr>
        <w:t>基本要求</w:t>
      </w:r>
    </w:p>
    <w:p w14:paraId="2EE720CB">
      <w:pPr>
        <w:widowControl/>
        <w:spacing w:line="360" w:lineRule="auto"/>
        <w:ind w:firstLine="480" w:firstLineChars="200"/>
        <w:jc w:val="left"/>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.投标方所供货物/服务，必须符合中国最新版的法律、法规和相关标准、规范的要求，符合项目所在地政府有关特殊要求。</w:t>
      </w:r>
    </w:p>
    <w:p w14:paraId="1FBF855E">
      <w:pPr>
        <w:widowControl/>
        <w:spacing w:line="360" w:lineRule="auto"/>
        <w:ind w:firstLine="480" w:firstLineChars="200"/>
        <w:jc w:val="left"/>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.投标方所供货物/服务涉及的专利权技术以及知识产权保护的其它技术等，应保证招标方不因此受到任何侵权指控以及实际损失。</w:t>
      </w:r>
    </w:p>
    <w:p w14:paraId="0250B20A">
      <w:pPr>
        <w:widowControl/>
        <w:spacing w:line="360" w:lineRule="auto"/>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3.投标方应满足招标方提出的各项技术要求，必要时应当免费提供技术承诺或担保。</w:t>
      </w:r>
    </w:p>
    <w:p w14:paraId="2538D277">
      <w:pPr>
        <w:widowControl/>
        <w:spacing w:line="360" w:lineRule="auto"/>
        <w:ind w:firstLine="480" w:firstLineChars="200"/>
        <w:jc w:val="left"/>
        <w:rPr>
          <w:rFonts w:ascii="宋体" w:hAnsi="Calibri" w:eastAsia="宋体" w:cs="Times New Roman"/>
          <w:sz w:val="24"/>
          <w:szCs w:val="24"/>
        </w:rPr>
      </w:pPr>
      <w:r>
        <w:rPr>
          <w:rFonts w:hint="eastAsia" w:ascii="宋体" w:hAnsi="宋体" w:eastAsia="宋体" w:cs="Times New Roman"/>
          <w:sz w:val="24"/>
          <w:szCs w:val="24"/>
        </w:rPr>
        <w:t>4.投标方应保证所供货物/服务的完整性和成套性，能保证货物的正常运行、使用。</w:t>
      </w:r>
    </w:p>
    <w:p w14:paraId="55666C74">
      <w:pPr>
        <w:widowControl/>
        <w:spacing w:line="360" w:lineRule="auto"/>
        <w:ind w:firstLine="480" w:firstLineChars="200"/>
        <w:jc w:val="left"/>
        <w:rPr>
          <w:rFonts w:ascii="宋体" w:hAnsi="宋体" w:eastAsia="宋体" w:cs="Times New Roman"/>
          <w:sz w:val="24"/>
          <w:szCs w:val="24"/>
        </w:rPr>
      </w:pPr>
      <w:r>
        <w:rPr>
          <w:rFonts w:hint="eastAsia" w:ascii="宋体" w:hAnsi="宋体" w:eastAsia="宋体" w:cs="Times New Roman"/>
          <w:sz w:val="24"/>
          <w:szCs w:val="24"/>
        </w:rPr>
        <w:t>5.投标方应对招标方采购的货物所涉及的技术、产能等信息负有保密义务，招标方拥有追究投标方泄密责任的权利；招标方如有需要，投标方应无条件签署保密协议。</w:t>
      </w:r>
    </w:p>
    <w:p w14:paraId="72F75848">
      <w:pPr>
        <w:widowControl/>
        <w:spacing w:line="360" w:lineRule="auto"/>
        <w:ind w:firstLine="480" w:firstLineChars="200"/>
        <w:jc w:val="left"/>
        <w:rPr>
          <w:rFonts w:ascii="Times New Roman" w:hAnsi="Times New Roman" w:eastAsia="宋体" w:cs="Times New Roman"/>
          <w:sz w:val="24"/>
          <w:szCs w:val="20"/>
        </w:rPr>
      </w:pPr>
    </w:p>
    <w:p w14:paraId="2B1F162B">
      <w:pPr>
        <w:keepNext/>
        <w:keepLines/>
        <w:widowControl/>
        <w:spacing w:line="360" w:lineRule="auto"/>
        <w:ind w:left="240" w:firstLine="562"/>
        <w:jc w:val="center"/>
        <w:outlineLvl w:val="1"/>
        <w:rPr>
          <w:rFonts w:ascii="Arial" w:hAnsi="Arial" w:eastAsia="黑体" w:cs="Times New Roman"/>
          <w:b/>
          <w:bCs/>
          <w:sz w:val="28"/>
          <w:szCs w:val="32"/>
          <w:lang w:val="zh-CN"/>
        </w:rPr>
      </w:pPr>
      <w:r>
        <w:rPr>
          <w:rFonts w:hint="eastAsia" w:ascii="Arial" w:hAnsi="Arial" w:eastAsia="黑体" w:cs="Times New Roman"/>
          <w:b/>
          <w:bCs/>
          <w:sz w:val="28"/>
          <w:szCs w:val="32"/>
          <w:lang w:val="zh-CN"/>
        </w:rPr>
        <w:t>其他说明</w:t>
      </w:r>
    </w:p>
    <w:p w14:paraId="72B7159C">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本章技术要求，仅对功能、设计、结构、性能、安装和试验检验等方面，提出了最低和一般性的技术要求，并未对一切技术细节作出规定。</w:t>
      </w:r>
    </w:p>
    <w:p w14:paraId="59078BDE">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本技术要求所使用的标准、规范等，如与投标方所执行的标准、规范不一致时，应按高于本技术要求所列的标准、规范执行。</w:t>
      </w:r>
    </w:p>
    <w:p w14:paraId="65C211AD">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投标方认为所供货物/服务必需由招标方配备、解决或提供的其它要求，如设备基础隔振和减振设施、软化水、洁净气源等，均应在投标文件“技术偏离”中予以充分说明。</w:t>
      </w:r>
    </w:p>
    <w:p w14:paraId="6439968A">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应根据招投标货物/服务具体要求，提出对厂房、设备基础（或安装平台）、公用设施、消防、环保等超出招标文件、投标文件、答疑文件、技术交流文件、技术协议书和合同等规定的、有特殊需要的解释、说明和要求。</w:t>
      </w:r>
    </w:p>
    <w:p w14:paraId="794CD07C">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无论是否有技术偏离，投标方均应在投标文件“技术偏离”中明确作出有无说明。若有异议，不管是多么微小，投标方必须予以明确和详细的说明或澄清。</w:t>
      </w:r>
    </w:p>
    <w:p w14:paraId="3BF0831C">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为避免投标方优势在招标评审时漏项，质保期超出本技术标书要求的，应当在投标文件“技术偏离”中特别注明。</w:t>
      </w:r>
    </w:p>
    <w:p w14:paraId="319769F1">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投标方所供货物/服务，必须符合中国最新版的法律、法规和相关标准、规范的要求，符合项目所在地政府有关特殊要求。</w:t>
      </w:r>
    </w:p>
    <w:p w14:paraId="2D00E5AB">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投标方所供货物/服务涉及的专利权技术以及知识产权保护的其它技术等，应保证招标方不因此受到任何侵权指控以及实际损失。</w:t>
      </w:r>
    </w:p>
    <w:p w14:paraId="6A84925C">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投标方应满足招标方提出的各项技术要求，必要时应当免费提供技术承诺或担保。</w:t>
      </w:r>
    </w:p>
    <w:p w14:paraId="7E5BB75C">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投标方应保证所供货物/服务的完整性和成套性，能保证货物的正常运行、使用。</w:t>
      </w:r>
    </w:p>
    <w:p w14:paraId="03A0E92D">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投标方应对招标方采购的货物所涉及的技术、产能等信息负有保密义务，招标方拥有追究投标方泄密责任的权利；招标方如有需要，投标方应无条件签署保密协议。</w:t>
      </w:r>
    </w:p>
    <w:p w14:paraId="39680729">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本项目台架搬迁涉及的所有动力电缆、管线的补偿由投标方负责。</w:t>
      </w:r>
    </w:p>
    <w:p w14:paraId="1F61215D">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投标标方应具备同类设备的设计和安装经验；</w:t>
      </w:r>
    </w:p>
    <w:p w14:paraId="26FC68F7">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投标方应具备足够的搬迁人员，特种作业人员，并具备相应的特种作业证，如焊接证，登高证等。</w:t>
      </w:r>
    </w:p>
    <w:p w14:paraId="26180D04">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投标方每次作业时应具有专门的现场安全管理人员。</w:t>
      </w:r>
    </w:p>
    <w:p w14:paraId="7C522000">
      <w:pPr>
        <w:pStyle w:val="135"/>
        <w:numPr>
          <w:ilvl w:val="0"/>
          <w:numId w:val="21"/>
        </w:numPr>
        <w:spacing w:line="360" w:lineRule="auto"/>
        <w:ind w:firstLineChars="0"/>
        <w:rPr>
          <w:rFonts w:ascii="Times New Roman" w:hAnsi="Times New Roman" w:eastAsia="宋体" w:cs="Times New Roman"/>
          <w:sz w:val="24"/>
          <w:szCs w:val="20"/>
        </w:rPr>
      </w:pPr>
      <w:r>
        <w:rPr>
          <w:rFonts w:hint="eastAsia" w:ascii="Times New Roman" w:hAnsi="Times New Roman" w:eastAsia="宋体" w:cs="Times New Roman"/>
          <w:sz w:val="24"/>
          <w:szCs w:val="20"/>
        </w:rPr>
        <w:t>投标方所用管路、电线、桥架材料等均需符合相关标准。</w:t>
      </w:r>
    </w:p>
    <w:p w14:paraId="4DC34BB0">
      <w:pPr>
        <w:widowControl/>
        <w:spacing w:after="120" w:line="360" w:lineRule="auto"/>
        <w:ind w:firstLine="480" w:firstLineChars="200"/>
        <w:jc w:val="left"/>
        <w:rPr>
          <w:rFonts w:ascii="Times New Roman" w:hAnsi="Times New Roman" w:eastAsia="宋体" w:cs="Times New Roman"/>
          <w:sz w:val="24"/>
          <w:szCs w:val="20"/>
        </w:rPr>
      </w:pPr>
    </w:p>
    <w:p w14:paraId="45E79D37">
      <w:pPr>
        <w:keepNext/>
        <w:keepLines/>
        <w:widowControl/>
        <w:spacing w:line="360" w:lineRule="auto"/>
        <w:ind w:left="240" w:firstLine="562"/>
        <w:jc w:val="center"/>
        <w:outlineLvl w:val="1"/>
        <w:rPr>
          <w:rFonts w:ascii="Arial" w:hAnsi="Arial" w:eastAsia="黑体" w:cs="Times New Roman"/>
          <w:b/>
          <w:bCs/>
          <w:sz w:val="28"/>
          <w:szCs w:val="32"/>
          <w:lang w:val="zh-CN"/>
        </w:rPr>
      </w:pPr>
      <w:bookmarkStart w:id="43" w:name="_Toc142725002"/>
      <w:r>
        <w:rPr>
          <w:rFonts w:hint="eastAsia" w:ascii="Arial" w:hAnsi="Arial" w:eastAsia="黑体" w:cs="Times New Roman"/>
          <w:b/>
          <w:bCs/>
          <w:sz w:val="28"/>
          <w:szCs w:val="32"/>
          <w:lang w:val="zh-CN"/>
        </w:rPr>
        <w:t>技术要求</w:t>
      </w:r>
      <w:bookmarkEnd w:id="43"/>
    </w:p>
    <w:p w14:paraId="52E86BEF">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搬迁内容</w:t>
      </w:r>
    </w:p>
    <w:p w14:paraId="0519179C">
      <w:pPr>
        <w:widowControl/>
        <w:numPr>
          <w:ilvl w:val="0"/>
          <w:numId w:val="2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搬迁设备为气压脉冲试验台、座椅头枕强度试验台、多楔带疲劳试验台及附属的设备、铁地板、工装等。</w:t>
      </w:r>
    </w:p>
    <w:p w14:paraId="4C0179BB">
      <w:pPr>
        <w:widowControl/>
        <w:numPr>
          <w:ilvl w:val="0"/>
          <w:numId w:val="2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设计使用寿命：按全年工作27</w:t>
      </w:r>
      <w:r>
        <w:rPr>
          <w:rFonts w:ascii="Times New Roman" w:hAnsi="Times New Roman" w:eastAsia="宋体" w:cs="Times New Roman"/>
          <w:sz w:val="24"/>
          <w:szCs w:val="20"/>
        </w:rPr>
        <w:t>0</w:t>
      </w:r>
      <w:r>
        <w:rPr>
          <w:rFonts w:hint="eastAsia" w:ascii="Times New Roman" w:hAnsi="Times New Roman" w:eastAsia="宋体" w:cs="Times New Roman"/>
          <w:sz w:val="24"/>
          <w:szCs w:val="20"/>
        </w:rPr>
        <w:t>天、1班制、设备年时基数</w:t>
      </w:r>
      <w:r>
        <w:rPr>
          <w:rFonts w:ascii="Times New Roman" w:hAnsi="Times New Roman" w:eastAsia="宋体" w:cs="Times New Roman"/>
          <w:sz w:val="24"/>
          <w:szCs w:val="20"/>
        </w:rPr>
        <w:t>2160</w:t>
      </w:r>
      <w:r>
        <w:rPr>
          <w:rFonts w:hint="eastAsia" w:ascii="Times New Roman" w:hAnsi="Times New Roman" w:eastAsia="宋体" w:cs="Times New Roman"/>
          <w:sz w:val="24"/>
          <w:szCs w:val="20"/>
        </w:rPr>
        <w:t>小时的工作制度计。</w:t>
      </w:r>
    </w:p>
    <w:p w14:paraId="709FCF7C">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供货期要求：</w:t>
      </w:r>
    </w:p>
    <w:p w14:paraId="32C4566A">
      <w:pPr>
        <w:widowControl/>
        <w:numPr>
          <w:ilvl w:val="0"/>
          <w:numId w:val="2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自招标方通知之日起，</w:t>
      </w:r>
      <w:r>
        <w:rPr>
          <w:rFonts w:ascii="Times New Roman" w:hAnsi="Times New Roman" w:eastAsia="宋体" w:cs="Times New Roman"/>
          <w:sz w:val="24"/>
          <w:szCs w:val="20"/>
        </w:rPr>
        <w:t>20</w:t>
      </w:r>
      <w:r>
        <w:rPr>
          <w:rFonts w:hint="eastAsia" w:ascii="Times New Roman" w:hAnsi="Times New Roman" w:eastAsia="宋体" w:cs="Times New Roman"/>
          <w:sz w:val="24"/>
          <w:szCs w:val="20"/>
        </w:rPr>
        <w:t>个日历日之内交货至供货地点；</w:t>
      </w:r>
    </w:p>
    <w:p w14:paraId="784BCB34">
      <w:pPr>
        <w:widowControl/>
        <w:numPr>
          <w:ilvl w:val="0"/>
          <w:numId w:val="2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接续</w:t>
      </w:r>
      <w:r>
        <w:rPr>
          <w:rFonts w:ascii="Times New Roman" w:hAnsi="Times New Roman" w:eastAsia="宋体" w:cs="Times New Roman"/>
          <w:sz w:val="24"/>
          <w:szCs w:val="20"/>
        </w:rPr>
        <w:t>6</w:t>
      </w:r>
      <w:r>
        <w:rPr>
          <w:rFonts w:hint="eastAsia" w:ascii="Times New Roman" w:hAnsi="Times New Roman" w:eastAsia="宋体" w:cs="Times New Roman"/>
          <w:sz w:val="24"/>
          <w:szCs w:val="20"/>
        </w:rPr>
        <w:t>0个日历日之内安装调试（或指导安装调试）完毕；</w:t>
      </w:r>
    </w:p>
    <w:p w14:paraId="4829456B">
      <w:pPr>
        <w:widowControl/>
        <w:numPr>
          <w:ilvl w:val="0"/>
          <w:numId w:val="2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验收在</w:t>
      </w:r>
      <w:r>
        <w:rPr>
          <w:rFonts w:ascii="Times New Roman" w:hAnsi="Times New Roman" w:eastAsia="宋体" w:cs="Times New Roman"/>
          <w:sz w:val="24"/>
          <w:szCs w:val="20"/>
        </w:rPr>
        <w:t>3</w:t>
      </w:r>
      <w:r>
        <w:rPr>
          <w:rFonts w:hint="eastAsia" w:ascii="Times New Roman" w:hAnsi="Times New Roman" w:eastAsia="宋体" w:cs="Times New Roman"/>
          <w:sz w:val="24"/>
          <w:szCs w:val="20"/>
        </w:rPr>
        <w:t>0个日历日之内完成（或协助完成）。</w:t>
      </w:r>
    </w:p>
    <w:p w14:paraId="17760E00">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其他要求：</w:t>
      </w:r>
    </w:p>
    <w:p w14:paraId="1482CD58">
      <w:pPr>
        <w:widowControl/>
        <w:spacing w:line="360" w:lineRule="auto"/>
        <w:ind w:left="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投标方应了解迁出场所及迁入场所的现场情况；</w:t>
      </w:r>
    </w:p>
    <w:p w14:paraId="1B94F219">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投标方应具备相应的设备设计和安装经验；</w:t>
      </w:r>
    </w:p>
    <w:p w14:paraId="120C560D">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投标方应能协调数量足够且合适的搬迁工具，搬迁时不能损坏设备；如有损坏，招标方有权要求恢复并索赔。</w:t>
      </w:r>
    </w:p>
    <w:p w14:paraId="3F2CE928">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投标方应能在作业时限内协调足够的人员及特种作业人员完成相应工作；</w:t>
      </w:r>
    </w:p>
    <w:p w14:paraId="2AAA97CD">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投标方每次作业应有现场安全管理和作业协调人员，招标方现场监督。</w:t>
      </w:r>
    </w:p>
    <w:p w14:paraId="00A9071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投标方应配备足够的劳保工具及安全用品，在作业过程中应严格按照招标方现场安全要求作业；</w:t>
      </w:r>
    </w:p>
    <w:p w14:paraId="76A3E60D">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搬迁作业前，投标方应与招标方沟通，做好搬迁方案和计划，并经招标方确认。</w:t>
      </w:r>
    </w:p>
    <w:p w14:paraId="1006AA19">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投标方需负责设备的拆解、打包、装卸、运输、安装、桥架采购及安装等全过程工作；</w:t>
      </w:r>
    </w:p>
    <w:p w14:paraId="5ADA1E39">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设备拆卸前，投标方应确认影响搬迁的油液排干，排出油液由投标方负责用清洁盛具盛装并做好标识，排出油液由投标方负责处理。</w:t>
      </w:r>
    </w:p>
    <w:p w14:paraId="3F90F65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设备解体前，投标方需对每根管路和线路做好对接标记，并对每个接口做好防尘防水等防护措施。</w:t>
      </w:r>
    </w:p>
    <w:p w14:paraId="6AAF5D5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搬迁后，设备油液需换新，由投标方投标方依据原品牌型号购买后加至设备标记位置或深度。</w:t>
      </w:r>
    </w:p>
    <w:p w14:paraId="773A2AE0">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搬迁运输由招标方根据设备情况做好防护和固定，根据设备尺寸和重量选择合适的运输车辆，严禁车辆超载超高；</w:t>
      </w:r>
    </w:p>
    <w:p w14:paraId="07207B8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设备装卸所需要的工具、车辆等全部由投标方负责；</w:t>
      </w:r>
    </w:p>
    <w:p w14:paraId="1541337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设备搬迁后、设备所需油液由投标方负责购买并加注。</w:t>
      </w:r>
    </w:p>
    <w:p w14:paraId="60EBE26F">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设备搬迁后，设备功能、运行状态及精度正常、且稳定运行后方可验收；</w:t>
      </w:r>
    </w:p>
    <w:p w14:paraId="47AE8B2E">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设备搬迁后，设备落地布局由招标方根据现有布局和迁入地状况现场最终确认；</w:t>
      </w:r>
    </w:p>
    <w:p w14:paraId="4DA83E26">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投标方作业桥架、电线、水路、气路等布置应满足相应安全要求，满足设备使用要求，满足招标方现场要求</w:t>
      </w:r>
    </w:p>
    <w:p w14:paraId="319D572C">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试验台安装调试完成后需对试验台和铁地板进行清洁、除锈和防锈处理。</w:t>
      </w:r>
    </w:p>
    <w:p w14:paraId="4142A72A">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试验台拆卸时，不允许暴力拆解。</w:t>
      </w:r>
    </w:p>
    <w:p w14:paraId="53DD6150">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招标方水、电、气等公用资源，均提供到设备附近。配电箱以下、气源出口以下、水管出口以下均由投标方负责。</w:t>
      </w:r>
    </w:p>
    <w:p w14:paraId="39788885">
      <w:pPr>
        <w:widowControl/>
        <w:numPr>
          <w:ilvl w:val="0"/>
          <w:numId w:val="2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搬迁后，设备可能存在损坏、调试运行状况不佳等问题，投标方需联系设备原厂家或具备设备调试能力的厂家进行调试，搬迁设备经计量通过后方可验收。</w:t>
      </w:r>
    </w:p>
    <w:p w14:paraId="5C5371D0">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44" w:name="_Toc142725017"/>
      <w:r>
        <w:rPr>
          <w:rFonts w:hint="eastAsia" w:ascii="Times New Roman" w:hAnsi="Times New Roman" w:eastAsia="宋体" w:cs="Times New Roman"/>
          <w:b/>
          <w:bCs/>
          <w:sz w:val="24"/>
          <w:szCs w:val="32"/>
          <w:lang w:val="zh-CN"/>
        </w:rPr>
        <w:t>执行标准</w:t>
      </w:r>
      <w:bookmarkEnd w:id="44"/>
    </w:p>
    <w:p w14:paraId="7BE3BA12">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招标方此处所列标准仅为涉及的主要标准，而且不保证其为最新版执行标准；投标方应当在本技术协议中认真予以填写、补充和修改完善。</w:t>
      </w:r>
    </w:p>
    <w:p w14:paraId="5D7C86E5">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投标方需要执行的标准，应当采用所供货物/服务通过招标方组织的最终验收之日已经开始执行的最新标准。</w:t>
      </w:r>
    </w:p>
    <w:p w14:paraId="73A5BDBD">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采购货物/服务的产品质量、技术标准如在招本技术协议中无相应说明，则按中华人民共和国有关部门颁发的最新的国标或专业（部）标准执行及相应的国际标准。</w:t>
      </w:r>
    </w:p>
    <w:p w14:paraId="48C37FBC">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采购货物/服务没有国家或专业（部）标准的，按企业标准执行时，投标方应在合同签署之前，将所涉及的企业标准提供给招标方确认。</w:t>
      </w:r>
    </w:p>
    <w:p w14:paraId="028B727A">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采购货物/服务如果采用国际标准，其执行标准由投标方提供、招标方确认。</w:t>
      </w:r>
    </w:p>
    <w:p w14:paraId="2AB03355">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采购货物/服务所涉及的标准不统一时，原则上按照最严格标准执行。</w:t>
      </w:r>
    </w:p>
    <w:p w14:paraId="1DB9C238">
      <w:pPr>
        <w:widowControl/>
        <w:numPr>
          <w:ilvl w:val="0"/>
          <w:numId w:val="2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涉及的主要标准表</w:t>
      </w:r>
    </w:p>
    <w:tbl>
      <w:tblPr>
        <w:tblStyle w:val="4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3"/>
        <w:gridCol w:w="3962"/>
        <w:gridCol w:w="2879"/>
        <w:gridCol w:w="1564"/>
      </w:tblGrid>
      <w:tr w14:paraId="0EB0C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26B582D3">
            <w:pPr>
              <w:widowControl/>
              <w:spacing w:line="300" w:lineRule="auto"/>
              <w:ind w:firstLine="200"/>
              <w:jc w:val="left"/>
              <w:rPr>
                <w:rFonts w:ascii="宋体" w:hAnsi="宋体" w:eastAsia="宋体" w:cs="宋体"/>
                <w:b/>
                <w:sz w:val="24"/>
                <w:szCs w:val="21"/>
              </w:rPr>
            </w:pPr>
            <w:r>
              <w:rPr>
                <w:rFonts w:hint="eastAsia" w:ascii="宋体" w:hAnsi="宋体" w:eastAsia="宋体" w:cs="宋体"/>
                <w:b/>
                <w:sz w:val="24"/>
                <w:szCs w:val="21"/>
              </w:rPr>
              <w:t>序号</w:t>
            </w:r>
          </w:p>
        </w:tc>
        <w:tc>
          <w:tcPr>
            <w:tcW w:w="1987"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0DCB5CE6">
            <w:pPr>
              <w:widowControl/>
              <w:spacing w:line="300" w:lineRule="auto"/>
              <w:ind w:left="482" w:firstLine="482" w:firstLineChars="200"/>
              <w:jc w:val="left"/>
              <w:rPr>
                <w:rFonts w:ascii="宋体" w:hAnsi="宋体" w:eastAsia="宋体" w:cs="宋体"/>
                <w:b/>
                <w:sz w:val="24"/>
                <w:szCs w:val="21"/>
              </w:rPr>
            </w:pPr>
            <w:r>
              <w:rPr>
                <w:rFonts w:hint="eastAsia" w:ascii="宋体" w:hAnsi="宋体" w:eastAsia="宋体" w:cs="宋体"/>
                <w:b/>
                <w:sz w:val="24"/>
                <w:szCs w:val="21"/>
              </w:rPr>
              <w:t>标准名称</w:t>
            </w:r>
          </w:p>
        </w:tc>
        <w:tc>
          <w:tcPr>
            <w:tcW w:w="1444"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6BA37F82">
            <w:pPr>
              <w:widowControl/>
              <w:spacing w:line="300" w:lineRule="auto"/>
              <w:ind w:firstLine="198" w:firstLineChars="82"/>
              <w:jc w:val="left"/>
              <w:rPr>
                <w:rFonts w:ascii="宋体" w:hAnsi="宋体" w:eastAsia="宋体" w:cs="宋体"/>
                <w:b/>
                <w:sz w:val="24"/>
                <w:szCs w:val="21"/>
              </w:rPr>
            </w:pPr>
            <w:r>
              <w:rPr>
                <w:rFonts w:hint="eastAsia" w:ascii="宋体" w:hAnsi="宋体" w:eastAsia="宋体" w:cs="宋体"/>
                <w:b/>
                <w:sz w:val="24"/>
                <w:szCs w:val="21"/>
              </w:rPr>
              <w:t>标准编号</w:t>
            </w:r>
          </w:p>
        </w:tc>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6C128459">
            <w:pPr>
              <w:widowControl/>
              <w:spacing w:line="300" w:lineRule="auto"/>
              <w:ind w:left="482"/>
              <w:jc w:val="left"/>
              <w:rPr>
                <w:rFonts w:ascii="宋体" w:hAnsi="宋体" w:eastAsia="宋体" w:cs="宋体"/>
                <w:b/>
                <w:sz w:val="24"/>
                <w:szCs w:val="21"/>
              </w:rPr>
            </w:pPr>
            <w:r>
              <w:rPr>
                <w:rFonts w:hint="eastAsia" w:ascii="宋体" w:hAnsi="宋体" w:eastAsia="宋体" w:cs="宋体"/>
                <w:b/>
                <w:sz w:val="24"/>
                <w:szCs w:val="21"/>
              </w:rPr>
              <w:t>备注</w:t>
            </w:r>
          </w:p>
        </w:tc>
      </w:tr>
      <w:tr w14:paraId="5E8EE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28A70389">
            <w:pPr>
              <w:widowControl/>
              <w:spacing w:line="300" w:lineRule="auto"/>
              <w:jc w:val="center"/>
              <w:rPr>
                <w:rFonts w:ascii="宋体" w:hAnsi="宋体" w:eastAsia="宋体" w:cs="宋体"/>
                <w:b/>
                <w:sz w:val="24"/>
                <w:szCs w:val="21"/>
              </w:rPr>
            </w:pPr>
            <w:r>
              <w:rPr>
                <w:rFonts w:hint="eastAsia" w:ascii="宋体" w:hAnsi="宋体" w:eastAsia="宋体" w:cs="宋体"/>
                <w:b/>
                <w:sz w:val="24"/>
                <w:szCs w:val="21"/>
              </w:rPr>
              <w:t>一</w:t>
            </w:r>
          </w:p>
        </w:tc>
        <w:tc>
          <w:tcPr>
            <w:tcW w:w="1987"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3AED1E3C">
            <w:pPr>
              <w:widowControl/>
              <w:spacing w:line="300" w:lineRule="auto"/>
              <w:jc w:val="center"/>
              <w:rPr>
                <w:rFonts w:ascii="宋体" w:hAnsi="宋体" w:eastAsia="宋体" w:cs="宋体"/>
                <w:b/>
                <w:sz w:val="24"/>
                <w:szCs w:val="21"/>
              </w:rPr>
            </w:pPr>
            <w:r>
              <w:rPr>
                <w:rFonts w:hint="eastAsia" w:ascii="宋体" w:hAnsi="宋体" w:eastAsia="宋体" w:cs="宋体"/>
                <w:b/>
                <w:sz w:val="24"/>
                <w:szCs w:val="21"/>
              </w:rPr>
              <w:t>设备使用标准</w:t>
            </w:r>
          </w:p>
        </w:tc>
        <w:tc>
          <w:tcPr>
            <w:tcW w:w="144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4062CF05">
            <w:pPr>
              <w:widowControl/>
              <w:spacing w:line="300" w:lineRule="auto"/>
              <w:jc w:val="center"/>
              <w:rPr>
                <w:rFonts w:ascii="宋体" w:hAnsi="宋体" w:eastAsia="宋体" w:cs="宋体"/>
                <w:b/>
                <w:kern w:val="20"/>
                <w:sz w:val="24"/>
                <w:szCs w:val="21"/>
              </w:rPr>
            </w:pPr>
          </w:p>
        </w:tc>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79383306">
            <w:pPr>
              <w:widowControl/>
              <w:spacing w:line="300" w:lineRule="auto"/>
              <w:jc w:val="center"/>
              <w:rPr>
                <w:rFonts w:ascii="宋体" w:hAnsi="宋体" w:eastAsia="宋体" w:cs="宋体"/>
                <w:b/>
                <w:sz w:val="24"/>
                <w:szCs w:val="21"/>
              </w:rPr>
            </w:pPr>
          </w:p>
        </w:tc>
      </w:tr>
      <w:tr w14:paraId="00E07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6AE9C295">
            <w:pPr>
              <w:widowControl/>
              <w:spacing w:line="300" w:lineRule="auto"/>
              <w:jc w:val="center"/>
              <w:rPr>
                <w:rFonts w:ascii="宋体" w:hAnsi="宋体" w:eastAsia="宋体" w:cs="宋体"/>
                <w:sz w:val="24"/>
                <w:szCs w:val="21"/>
              </w:rPr>
            </w:pPr>
            <w:r>
              <w:rPr>
                <w:rFonts w:hint="eastAsia" w:ascii="宋体" w:hAnsi="宋体" w:eastAsia="宋体" w:cs="宋体"/>
                <w:sz w:val="24"/>
                <w:szCs w:val="21"/>
              </w:rPr>
              <w:t>1</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6A6340ED">
            <w:pPr>
              <w:widowControl/>
              <w:spacing w:line="300" w:lineRule="auto"/>
              <w:jc w:val="center"/>
              <w:rPr>
                <w:rFonts w:ascii="宋体" w:hAnsi="宋体" w:eastAsia="宋体" w:cs="宋体"/>
                <w:sz w:val="24"/>
                <w:szCs w:val="21"/>
              </w:rPr>
            </w:pPr>
            <w:r>
              <w:rPr>
                <w:rFonts w:hint="eastAsia" w:ascii="宋体" w:hAnsi="宋体" w:eastAsia="宋体" w:cs="宋体"/>
                <w:sz w:val="24"/>
                <w:szCs w:val="21"/>
              </w:rPr>
              <w:t>冷却液胶管</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1069B5E0">
            <w:pPr>
              <w:widowControl/>
              <w:spacing w:line="300" w:lineRule="auto"/>
              <w:jc w:val="center"/>
              <w:rPr>
                <w:rFonts w:ascii="宋体" w:hAnsi="宋体" w:eastAsia="宋体" w:cs="宋体"/>
                <w:kern w:val="20"/>
                <w:sz w:val="24"/>
                <w:szCs w:val="21"/>
              </w:rPr>
            </w:pPr>
            <w:r>
              <w:rPr>
                <w:rFonts w:hint="eastAsia" w:ascii="宋体" w:hAnsi="宋体" w:eastAsia="宋体" w:cs="宋体"/>
                <w:sz w:val="24"/>
                <w:szCs w:val="21"/>
              </w:rPr>
              <w:t>Q/</w:t>
            </w:r>
            <w:r>
              <w:rPr>
                <w:rFonts w:ascii="宋体" w:hAnsi="宋体" w:eastAsia="宋体" w:cs="宋体"/>
                <w:sz w:val="24"/>
                <w:szCs w:val="21"/>
              </w:rPr>
              <w:t>ZZ 11222-2023</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7CF849B1">
            <w:pPr>
              <w:widowControl/>
              <w:spacing w:line="300" w:lineRule="auto"/>
              <w:jc w:val="center"/>
              <w:rPr>
                <w:rFonts w:ascii="宋体" w:hAnsi="宋体" w:eastAsia="宋体" w:cs="宋体"/>
                <w:sz w:val="24"/>
                <w:szCs w:val="21"/>
              </w:rPr>
            </w:pPr>
          </w:p>
        </w:tc>
      </w:tr>
      <w:tr w14:paraId="2E323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4EDD4838">
            <w:pPr>
              <w:widowControl/>
              <w:spacing w:line="300" w:lineRule="auto"/>
              <w:jc w:val="center"/>
              <w:rPr>
                <w:rFonts w:ascii="宋体" w:hAnsi="宋体" w:eastAsia="宋体" w:cs="宋体"/>
                <w:sz w:val="24"/>
                <w:szCs w:val="21"/>
              </w:rPr>
            </w:pPr>
            <w:r>
              <w:rPr>
                <w:rFonts w:hint="eastAsia" w:ascii="宋体" w:hAnsi="宋体" w:eastAsia="宋体" w:cs="宋体"/>
                <w:sz w:val="24"/>
                <w:szCs w:val="21"/>
              </w:rPr>
              <w:t>2</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17E2C9C1">
            <w:pPr>
              <w:widowControl/>
              <w:spacing w:line="300" w:lineRule="auto"/>
              <w:jc w:val="center"/>
              <w:rPr>
                <w:rFonts w:ascii="宋体" w:hAnsi="宋体" w:eastAsia="宋体" w:cs="宋体"/>
                <w:sz w:val="24"/>
                <w:szCs w:val="21"/>
              </w:rPr>
            </w:pPr>
            <w:r>
              <w:rPr>
                <w:rFonts w:hint="eastAsia" w:ascii="宋体" w:hAnsi="宋体" w:eastAsia="宋体" w:cs="宋体"/>
                <w:sz w:val="24"/>
                <w:szCs w:val="21"/>
              </w:rPr>
              <w:t>汽车多楔带</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488A4018">
            <w:pPr>
              <w:widowControl/>
              <w:spacing w:line="300" w:lineRule="auto"/>
              <w:jc w:val="center"/>
              <w:rPr>
                <w:rFonts w:ascii="宋体" w:hAnsi="宋体" w:eastAsia="宋体" w:cs="宋体"/>
                <w:kern w:val="20"/>
                <w:sz w:val="24"/>
                <w:szCs w:val="21"/>
              </w:rPr>
            </w:pPr>
            <w:r>
              <w:rPr>
                <w:rFonts w:hint="eastAsia" w:ascii="宋体" w:hAnsi="宋体" w:eastAsia="宋体" w:cs="宋体"/>
                <w:sz w:val="24"/>
                <w:szCs w:val="21"/>
              </w:rPr>
              <w:t>GB</w:t>
            </w:r>
            <w:r>
              <w:rPr>
                <w:rFonts w:ascii="宋体" w:hAnsi="宋体" w:eastAsia="宋体" w:cs="宋体"/>
                <w:sz w:val="24"/>
                <w:szCs w:val="21"/>
              </w:rPr>
              <w:t>/</w:t>
            </w:r>
            <w:r>
              <w:rPr>
                <w:rFonts w:hint="eastAsia" w:ascii="宋体" w:hAnsi="宋体" w:eastAsia="宋体" w:cs="宋体"/>
                <w:sz w:val="24"/>
                <w:szCs w:val="21"/>
              </w:rPr>
              <w:t>T 13552-2023</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E24EDB7">
            <w:pPr>
              <w:widowControl/>
              <w:spacing w:line="300" w:lineRule="auto"/>
              <w:jc w:val="center"/>
              <w:rPr>
                <w:rFonts w:ascii="宋体" w:hAnsi="宋体" w:eastAsia="宋体" w:cs="宋体"/>
                <w:sz w:val="24"/>
                <w:szCs w:val="21"/>
              </w:rPr>
            </w:pPr>
          </w:p>
        </w:tc>
      </w:tr>
      <w:tr w14:paraId="33437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2C9993A9">
            <w:pPr>
              <w:widowControl/>
              <w:spacing w:line="300" w:lineRule="auto"/>
              <w:jc w:val="center"/>
              <w:rPr>
                <w:rFonts w:ascii="宋体" w:hAnsi="宋体" w:eastAsia="宋体" w:cs="宋体"/>
                <w:sz w:val="24"/>
                <w:szCs w:val="21"/>
              </w:rPr>
            </w:pPr>
            <w:r>
              <w:rPr>
                <w:rFonts w:hint="eastAsia" w:ascii="宋体" w:hAnsi="宋体" w:eastAsia="宋体" w:cs="宋体"/>
                <w:sz w:val="24"/>
                <w:szCs w:val="21"/>
              </w:rPr>
              <w:t>3</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19757950">
            <w:pPr>
              <w:widowControl/>
              <w:spacing w:line="300" w:lineRule="auto"/>
              <w:jc w:val="center"/>
              <w:rPr>
                <w:rFonts w:ascii="宋体" w:hAnsi="宋体" w:eastAsia="宋体" w:cs="宋体"/>
                <w:sz w:val="24"/>
                <w:szCs w:val="21"/>
              </w:rPr>
            </w:pP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1D41711F">
            <w:pPr>
              <w:widowControl/>
              <w:spacing w:line="300" w:lineRule="auto"/>
              <w:jc w:val="center"/>
              <w:rPr>
                <w:rFonts w:ascii="宋体" w:hAnsi="宋体" w:eastAsia="宋体" w:cs="宋体"/>
                <w:kern w:val="20"/>
                <w:sz w:val="24"/>
                <w:szCs w:val="21"/>
              </w:rPr>
            </w:pP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223DF8DE">
            <w:pPr>
              <w:widowControl/>
              <w:spacing w:line="300" w:lineRule="auto"/>
              <w:jc w:val="center"/>
              <w:rPr>
                <w:rFonts w:ascii="宋体" w:hAnsi="宋体" w:eastAsia="宋体" w:cs="宋体"/>
                <w:sz w:val="24"/>
                <w:szCs w:val="21"/>
              </w:rPr>
            </w:pPr>
          </w:p>
        </w:tc>
      </w:tr>
      <w:tr w14:paraId="15434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640B7923">
            <w:pPr>
              <w:widowControl/>
              <w:spacing w:line="300" w:lineRule="auto"/>
              <w:jc w:val="center"/>
              <w:rPr>
                <w:rFonts w:ascii="宋体" w:hAnsi="宋体" w:eastAsia="宋体" w:cs="宋体"/>
                <w:b/>
                <w:sz w:val="24"/>
                <w:szCs w:val="21"/>
              </w:rPr>
            </w:pPr>
            <w:r>
              <w:rPr>
                <w:rFonts w:hint="eastAsia" w:ascii="宋体" w:hAnsi="宋体" w:eastAsia="宋体" w:cs="宋体"/>
                <w:b/>
                <w:sz w:val="24"/>
                <w:szCs w:val="21"/>
              </w:rPr>
              <w:t>二</w:t>
            </w:r>
          </w:p>
        </w:tc>
        <w:tc>
          <w:tcPr>
            <w:tcW w:w="1987"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15718ACC">
            <w:pPr>
              <w:widowControl/>
              <w:spacing w:line="300" w:lineRule="auto"/>
              <w:jc w:val="center"/>
              <w:rPr>
                <w:rFonts w:ascii="宋体" w:hAnsi="宋体" w:eastAsia="宋体" w:cs="宋体"/>
                <w:b/>
                <w:sz w:val="24"/>
                <w:szCs w:val="21"/>
              </w:rPr>
            </w:pPr>
            <w:r>
              <w:rPr>
                <w:rFonts w:hint="eastAsia" w:ascii="宋体" w:hAnsi="宋体" w:eastAsia="宋体" w:cs="宋体"/>
                <w:b/>
                <w:sz w:val="24"/>
                <w:szCs w:val="21"/>
              </w:rPr>
              <w:t>设备安装标准</w:t>
            </w:r>
          </w:p>
        </w:tc>
        <w:tc>
          <w:tcPr>
            <w:tcW w:w="144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7E3B72D5">
            <w:pPr>
              <w:widowControl/>
              <w:spacing w:line="300" w:lineRule="auto"/>
              <w:jc w:val="center"/>
              <w:rPr>
                <w:rFonts w:ascii="宋体" w:hAnsi="宋体" w:eastAsia="宋体" w:cs="宋体"/>
                <w:b/>
                <w:sz w:val="24"/>
                <w:szCs w:val="21"/>
              </w:rPr>
            </w:pPr>
          </w:p>
        </w:tc>
        <w:tc>
          <w:tcPr>
            <w:tcW w:w="784" w:type="pct"/>
            <w:tcBorders>
              <w:top w:val="single" w:color="auto" w:sz="4" w:space="0"/>
              <w:left w:val="single" w:color="auto" w:sz="4" w:space="0"/>
              <w:bottom w:val="single" w:color="auto" w:sz="4" w:space="0"/>
              <w:right w:val="single" w:color="auto" w:sz="4" w:space="0"/>
              <w:tl2br w:val="nil"/>
              <w:tr2bl w:val="nil"/>
            </w:tcBorders>
            <w:shd w:val="clear" w:color="auto" w:fill="00B0F0"/>
            <w:vAlign w:val="center"/>
          </w:tcPr>
          <w:p w14:paraId="2B9C75B1">
            <w:pPr>
              <w:widowControl/>
              <w:spacing w:line="300" w:lineRule="auto"/>
              <w:jc w:val="center"/>
              <w:rPr>
                <w:rFonts w:ascii="宋体" w:hAnsi="宋体" w:eastAsia="宋体" w:cs="宋体"/>
                <w:b/>
                <w:sz w:val="24"/>
                <w:szCs w:val="21"/>
              </w:rPr>
            </w:pPr>
          </w:p>
        </w:tc>
      </w:tr>
      <w:tr w14:paraId="16A1A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21B2C3EF">
            <w:pPr>
              <w:widowControl/>
              <w:spacing w:line="300" w:lineRule="auto"/>
              <w:jc w:val="center"/>
              <w:rPr>
                <w:rFonts w:ascii="宋体" w:hAnsi="宋体" w:eastAsia="宋体" w:cs="宋体"/>
                <w:sz w:val="24"/>
                <w:szCs w:val="21"/>
              </w:rPr>
            </w:pPr>
            <w:r>
              <w:rPr>
                <w:rFonts w:hint="eastAsia" w:ascii="宋体" w:hAnsi="宋体" w:eastAsia="宋体" w:cs="宋体"/>
                <w:sz w:val="24"/>
                <w:szCs w:val="21"/>
              </w:rPr>
              <w:t>1</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259D56B2">
            <w:pPr>
              <w:widowControl/>
              <w:spacing w:line="300" w:lineRule="auto"/>
              <w:jc w:val="left"/>
              <w:rPr>
                <w:rFonts w:ascii="宋体" w:hAnsi="宋体" w:eastAsia="宋体" w:cs="宋体"/>
                <w:sz w:val="24"/>
                <w:szCs w:val="21"/>
              </w:rPr>
            </w:pPr>
            <w:r>
              <w:rPr>
                <w:rFonts w:hint="eastAsia" w:ascii="宋体" w:hAnsi="宋体" w:eastAsia="宋体" w:cs="宋体"/>
                <w:sz w:val="24"/>
                <w:szCs w:val="21"/>
              </w:rPr>
              <w:t>供配电系统设计规范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69A5D44E">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GB50052—95</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6E126820">
            <w:pPr>
              <w:widowControl/>
              <w:spacing w:line="300" w:lineRule="auto"/>
              <w:ind w:left="480" w:firstLine="480" w:firstLineChars="200"/>
              <w:jc w:val="left"/>
              <w:rPr>
                <w:rFonts w:ascii="宋体" w:hAnsi="宋体" w:eastAsia="宋体" w:cs="宋体"/>
                <w:sz w:val="24"/>
                <w:szCs w:val="21"/>
              </w:rPr>
            </w:pPr>
          </w:p>
        </w:tc>
      </w:tr>
      <w:tr w14:paraId="256D5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4A410F3">
            <w:pPr>
              <w:widowControl/>
              <w:spacing w:line="300" w:lineRule="auto"/>
              <w:jc w:val="center"/>
              <w:rPr>
                <w:rFonts w:ascii="宋体" w:hAnsi="宋体" w:eastAsia="宋体" w:cs="宋体"/>
                <w:sz w:val="24"/>
                <w:szCs w:val="21"/>
              </w:rPr>
            </w:pPr>
            <w:r>
              <w:rPr>
                <w:rFonts w:hint="eastAsia" w:ascii="宋体" w:hAnsi="宋体" w:eastAsia="宋体" w:cs="宋体"/>
                <w:sz w:val="24"/>
                <w:szCs w:val="21"/>
              </w:rPr>
              <w:t>2</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5CAD6F03">
            <w:pPr>
              <w:widowControl/>
              <w:spacing w:line="300" w:lineRule="auto"/>
              <w:jc w:val="left"/>
              <w:rPr>
                <w:rFonts w:ascii="宋体" w:hAnsi="宋体" w:eastAsia="宋体" w:cs="宋体"/>
                <w:sz w:val="24"/>
                <w:szCs w:val="21"/>
              </w:rPr>
            </w:pPr>
            <w:r>
              <w:rPr>
                <w:rFonts w:hint="eastAsia" w:ascii="宋体" w:hAnsi="宋体" w:eastAsia="宋体" w:cs="宋体"/>
                <w:sz w:val="24"/>
                <w:szCs w:val="21"/>
              </w:rPr>
              <w:t>低压配电设计规范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73B7D177">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GB50054—95</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0F45152">
            <w:pPr>
              <w:widowControl/>
              <w:spacing w:line="300" w:lineRule="auto"/>
              <w:ind w:left="480" w:firstLine="480" w:firstLineChars="200"/>
              <w:jc w:val="left"/>
              <w:rPr>
                <w:rFonts w:ascii="宋体" w:hAnsi="宋体" w:eastAsia="宋体" w:cs="宋体"/>
                <w:sz w:val="24"/>
                <w:szCs w:val="21"/>
              </w:rPr>
            </w:pPr>
          </w:p>
        </w:tc>
      </w:tr>
      <w:tr w14:paraId="647BB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6054AB1">
            <w:pPr>
              <w:widowControl/>
              <w:spacing w:line="300" w:lineRule="auto"/>
              <w:jc w:val="center"/>
              <w:rPr>
                <w:rFonts w:ascii="宋体" w:hAnsi="宋体" w:eastAsia="宋体" w:cs="宋体"/>
                <w:sz w:val="24"/>
                <w:szCs w:val="21"/>
              </w:rPr>
            </w:pPr>
            <w:r>
              <w:rPr>
                <w:rFonts w:hint="eastAsia" w:ascii="宋体" w:hAnsi="宋体" w:eastAsia="宋体" w:cs="宋体"/>
                <w:sz w:val="24"/>
                <w:szCs w:val="21"/>
              </w:rPr>
              <w:t>3</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36D96DCC">
            <w:pPr>
              <w:widowControl/>
              <w:spacing w:line="300" w:lineRule="auto"/>
              <w:jc w:val="left"/>
              <w:rPr>
                <w:rFonts w:ascii="宋体" w:hAnsi="宋体" w:eastAsia="宋体" w:cs="宋体"/>
                <w:sz w:val="24"/>
                <w:szCs w:val="21"/>
              </w:rPr>
            </w:pPr>
            <w:r>
              <w:rPr>
                <w:rFonts w:hint="eastAsia" w:ascii="宋体" w:hAnsi="宋体" w:eastAsia="宋体" w:cs="宋体"/>
                <w:sz w:val="24"/>
                <w:szCs w:val="21"/>
              </w:rPr>
              <w:t>通用用电设备配电设计规范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5948F4A2">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GB50055—93</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6953BEFB">
            <w:pPr>
              <w:widowControl/>
              <w:spacing w:line="300" w:lineRule="auto"/>
              <w:ind w:left="480" w:firstLine="480" w:firstLineChars="200"/>
              <w:jc w:val="left"/>
              <w:rPr>
                <w:rFonts w:ascii="宋体" w:hAnsi="宋体" w:eastAsia="宋体" w:cs="宋体"/>
                <w:sz w:val="24"/>
                <w:szCs w:val="21"/>
              </w:rPr>
            </w:pPr>
          </w:p>
        </w:tc>
      </w:tr>
      <w:tr w14:paraId="55C32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26576E49">
            <w:pPr>
              <w:widowControl/>
              <w:spacing w:line="300" w:lineRule="auto"/>
              <w:jc w:val="center"/>
              <w:rPr>
                <w:rFonts w:ascii="宋体" w:hAnsi="宋体" w:eastAsia="宋体" w:cs="宋体"/>
                <w:sz w:val="24"/>
                <w:szCs w:val="21"/>
              </w:rPr>
            </w:pPr>
            <w:r>
              <w:rPr>
                <w:rFonts w:hint="eastAsia" w:ascii="宋体" w:hAnsi="宋体" w:eastAsia="宋体" w:cs="宋体"/>
                <w:sz w:val="24"/>
                <w:szCs w:val="21"/>
              </w:rPr>
              <w:t>4</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45563EDF">
            <w:pPr>
              <w:widowControl/>
              <w:spacing w:line="300" w:lineRule="auto"/>
              <w:jc w:val="left"/>
              <w:rPr>
                <w:rFonts w:ascii="宋体" w:hAnsi="宋体" w:eastAsia="宋体" w:cs="宋体"/>
                <w:sz w:val="24"/>
                <w:szCs w:val="21"/>
              </w:rPr>
            </w:pPr>
            <w:r>
              <w:rPr>
                <w:rFonts w:hint="eastAsia" w:ascii="宋体" w:hAnsi="宋体" w:eastAsia="宋体" w:cs="宋体"/>
                <w:sz w:val="24"/>
                <w:szCs w:val="21"/>
              </w:rPr>
              <w:t>电力装置的继电保护和自动装置设计规范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3EAD2DA1">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GB50062—92</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51E0F6F5">
            <w:pPr>
              <w:widowControl/>
              <w:spacing w:line="300" w:lineRule="auto"/>
              <w:ind w:left="480" w:firstLine="480" w:firstLineChars="200"/>
              <w:jc w:val="left"/>
              <w:rPr>
                <w:rFonts w:ascii="宋体" w:hAnsi="宋体" w:eastAsia="宋体" w:cs="宋体"/>
                <w:sz w:val="24"/>
                <w:szCs w:val="21"/>
              </w:rPr>
            </w:pPr>
          </w:p>
        </w:tc>
      </w:tr>
      <w:tr w14:paraId="1FF92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5D5BF856">
            <w:pPr>
              <w:widowControl/>
              <w:spacing w:line="300" w:lineRule="auto"/>
              <w:jc w:val="center"/>
              <w:rPr>
                <w:rFonts w:ascii="宋体" w:hAnsi="宋体" w:eastAsia="宋体" w:cs="宋体"/>
                <w:sz w:val="24"/>
                <w:szCs w:val="21"/>
              </w:rPr>
            </w:pPr>
            <w:r>
              <w:rPr>
                <w:rFonts w:hint="eastAsia" w:ascii="宋体" w:hAnsi="宋体" w:eastAsia="宋体" w:cs="宋体"/>
                <w:sz w:val="24"/>
                <w:szCs w:val="21"/>
              </w:rPr>
              <w:t>5</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3E57DFDF">
            <w:pPr>
              <w:widowControl/>
              <w:spacing w:line="300" w:lineRule="auto"/>
              <w:jc w:val="left"/>
              <w:rPr>
                <w:rFonts w:ascii="宋体" w:hAnsi="宋体" w:eastAsia="宋体" w:cs="宋体"/>
                <w:sz w:val="24"/>
                <w:szCs w:val="21"/>
              </w:rPr>
            </w:pPr>
            <w:r>
              <w:rPr>
                <w:rFonts w:hint="eastAsia" w:ascii="宋体" w:hAnsi="宋体" w:eastAsia="宋体" w:cs="宋体"/>
                <w:sz w:val="24"/>
                <w:szCs w:val="21"/>
              </w:rPr>
              <w:t>电力装置的电测量仪表装置设计规范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34428D2B">
            <w:pPr>
              <w:widowControl/>
              <w:spacing w:line="300" w:lineRule="auto"/>
              <w:jc w:val="left"/>
              <w:rPr>
                <w:rFonts w:ascii="宋体" w:hAnsi="宋体" w:eastAsia="宋体" w:cs="宋体"/>
                <w:sz w:val="24"/>
                <w:szCs w:val="21"/>
              </w:rPr>
            </w:pPr>
            <w:r>
              <w:rPr>
                <w:rFonts w:hint="eastAsia" w:ascii="宋体" w:hAnsi="宋体" w:eastAsia="宋体" w:cs="宋体"/>
                <w:sz w:val="24"/>
                <w:szCs w:val="21"/>
              </w:rPr>
              <w:t>GBJ63—90</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0D2200A3">
            <w:pPr>
              <w:widowControl/>
              <w:spacing w:line="300" w:lineRule="auto"/>
              <w:ind w:left="480" w:firstLine="480" w:firstLineChars="200"/>
              <w:jc w:val="left"/>
              <w:rPr>
                <w:rFonts w:ascii="宋体" w:hAnsi="宋体" w:eastAsia="宋体" w:cs="宋体"/>
                <w:sz w:val="24"/>
                <w:szCs w:val="21"/>
              </w:rPr>
            </w:pPr>
          </w:p>
        </w:tc>
      </w:tr>
      <w:tr w14:paraId="03345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4FB64531">
            <w:pPr>
              <w:widowControl/>
              <w:spacing w:line="300" w:lineRule="auto"/>
              <w:jc w:val="center"/>
              <w:rPr>
                <w:rFonts w:ascii="宋体" w:hAnsi="宋体" w:eastAsia="宋体" w:cs="宋体"/>
                <w:sz w:val="24"/>
                <w:szCs w:val="21"/>
              </w:rPr>
            </w:pPr>
            <w:r>
              <w:rPr>
                <w:rFonts w:hint="eastAsia" w:ascii="宋体" w:hAnsi="宋体" w:eastAsia="宋体" w:cs="宋体"/>
                <w:sz w:val="24"/>
                <w:szCs w:val="21"/>
              </w:rPr>
              <w:t>6</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04D6282B">
            <w:pPr>
              <w:widowControl/>
              <w:spacing w:line="300" w:lineRule="auto"/>
              <w:jc w:val="left"/>
              <w:rPr>
                <w:rFonts w:ascii="宋体" w:hAnsi="宋体" w:eastAsia="宋体" w:cs="宋体"/>
                <w:sz w:val="24"/>
                <w:szCs w:val="21"/>
              </w:rPr>
            </w:pPr>
            <w:r>
              <w:rPr>
                <w:rFonts w:hint="eastAsia" w:ascii="宋体" w:hAnsi="宋体" w:eastAsia="宋体" w:cs="宋体"/>
                <w:sz w:val="24"/>
                <w:szCs w:val="21"/>
              </w:rPr>
              <w:t>建筑电气安装工程质量检验评定标准</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43D2D83C">
            <w:pPr>
              <w:widowControl/>
              <w:spacing w:line="300" w:lineRule="auto"/>
              <w:jc w:val="left"/>
              <w:rPr>
                <w:rFonts w:ascii="宋体" w:hAnsi="宋体" w:eastAsia="宋体" w:cs="宋体"/>
                <w:sz w:val="24"/>
                <w:szCs w:val="21"/>
              </w:rPr>
            </w:pPr>
            <w:r>
              <w:rPr>
                <w:rFonts w:hint="eastAsia" w:ascii="宋体" w:hAnsi="宋体" w:eastAsia="宋体" w:cs="宋体"/>
                <w:sz w:val="24"/>
                <w:szCs w:val="21"/>
              </w:rPr>
              <w:t>GBJ303—88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6151323">
            <w:pPr>
              <w:widowControl/>
              <w:spacing w:line="300" w:lineRule="auto"/>
              <w:ind w:left="480" w:firstLine="480" w:firstLineChars="200"/>
              <w:jc w:val="left"/>
              <w:rPr>
                <w:rFonts w:ascii="宋体" w:hAnsi="宋体" w:eastAsia="宋体" w:cs="宋体"/>
                <w:sz w:val="24"/>
                <w:szCs w:val="21"/>
              </w:rPr>
            </w:pPr>
          </w:p>
        </w:tc>
      </w:tr>
      <w:tr w14:paraId="0773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3F4B9BE9">
            <w:pPr>
              <w:widowControl/>
              <w:spacing w:line="300" w:lineRule="auto"/>
              <w:jc w:val="center"/>
              <w:rPr>
                <w:rFonts w:ascii="宋体" w:hAnsi="宋体" w:eastAsia="宋体" w:cs="宋体"/>
                <w:sz w:val="24"/>
                <w:szCs w:val="21"/>
              </w:rPr>
            </w:pPr>
            <w:r>
              <w:rPr>
                <w:rFonts w:hint="eastAsia" w:ascii="宋体" w:hAnsi="宋体" w:eastAsia="宋体" w:cs="宋体"/>
                <w:sz w:val="24"/>
                <w:szCs w:val="21"/>
              </w:rPr>
              <w:t>7</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201B16CE">
            <w:pPr>
              <w:widowControl/>
              <w:spacing w:line="300" w:lineRule="auto"/>
              <w:jc w:val="left"/>
              <w:rPr>
                <w:rFonts w:ascii="宋体" w:hAnsi="宋体" w:eastAsia="宋体" w:cs="宋体"/>
                <w:sz w:val="24"/>
                <w:szCs w:val="21"/>
              </w:rPr>
            </w:pPr>
            <w:r>
              <w:rPr>
                <w:rFonts w:hint="eastAsia" w:ascii="宋体" w:hAnsi="宋体" w:eastAsia="宋体" w:cs="宋体"/>
                <w:sz w:val="24"/>
                <w:szCs w:val="21"/>
              </w:rPr>
              <w:t>作业现场临时用电安全技术规范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0C04A16C">
            <w:pPr>
              <w:widowControl/>
              <w:spacing w:line="300" w:lineRule="auto"/>
              <w:jc w:val="left"/>
              <w:rPr>
                <w:rFonts w:ascii="宋体" w:hAnsi="宋体" w:eastAsia="宋体" w:cs="宋体"/>
                <w:sz w:val="24"/>
                <w:szCs w:val="21"/>
              </w:rPr>
            </w:pPr>
            <w:r>
              <w:rPr>
                <w:rFonts w:hint="eastAsia" w:ascii="宋体" w:hAnsi="宋体" w:eastAsia="宋体" w:cs="宋体"/>
                <w:sz w:val="24"/>
                <w:szCs w:val="21"/>
              </w:rPr>
              <w:t>JGJ46—88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2614A880">
            <w:pPr>
              <w:widowControl/>
              <w:spacing w:line="300" w:lineRule="auto"/>
              <w:ind w:left="480" w:firstLine="480" w:firstLineChars="200"/>
              <w:jc w:val="left"/>
              <w:rPr>
                <w:rFonts w:ascii="宋体" w:hAnsi="宋体" w:eastAsia="宋体" w:cs="宋体"/>
                <w:sz w:val="24"/>
                <w:szCs w:val="21"/>
              </w:rPr>
            </w:pPr>
          </w:p>
        </w:tc>
      </w:tr>
      <w:tr w14:paraId="21107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52DCA677">
            <w:pPr>
              <w:widowControl/>
              <w:spacing w:line="300" w:lineRule="auto"/>
              <w:jc w:val="center"/>
              <w:rPr>
                <w:rFonts w:ascii="宋体" w:hAnsi="宋体" w:eastAsia="宋体" w:cs="宋体"/>
                <w:sz w:val="24"/>
                <w:szCs w:val="21"/>
              </w:rPr>
            </w:pPr>
            <w:r>
              <w:rPr>
                <w:rFonts w:hint="eastAsia" w:ascii="宋体" w:hAnsi="宋体" w:eastAsia="宋体" w:cs="宋体"/>
                <w:sz w:val="24"/>
                <w:szCs w:val="21"/>
              </w:rPr>
              <w:t>8</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723FC504">
            <w:pPr>
              <w:widowControl/>
              <w:spacing w:line="300" w:lineRule="auto"/>
              <w:jc w:val="left"/>
              <w:rPr>
                <w:rFonts w:ascii="宋体" w:hAnsi="宋体" w:eastAsia="宋体" w:cs="宋体"/>
                <w:sz w:val="24"/>
                <w:szCs w:val="21"/>
              </w:rPr>
            </w:pPr>
            <w:r>
              <w:rPr>
                <w:rFonts w:hint="eastAsia" w:ascii="宋体" w:hAnsi="宋体" w:eastAsia="宋体" w:cs="宋体"/>
                <w:sz w:val="24"/>
                <w:szCs w:val="21"/>
              </w:rPr>
              <w:t>民用建筑电气设计规范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4D520F8D">
            <w:pPr>
              <w:widowControl/>
              <w:spacing w:line="300" w:lineRule="auto"/>
              <w:jc w:val="left"/>
              <w:rPr>
                <w:rFonts w:ascii="宋体" w:hAnsi="宋体" w:eastAsia="宋体" w:cs="宋体"/>
                <w:sz w:val="24"/>
                <w:szCs w:val="21"/>
              </w:rPr>
            </w:pPr>
            <w:r>
              <w:rPr>
                <w:rFonts w:hint="eastAsia" w:ascii="宋体" w:hAnsi="宋体" w:eastAsia="宋体" w:cs="宋体"/>
                <w:sz w:val="24"/>
                <w:szCs w:val="21"/>
              </w:rPr>
              <w:t>JGJ/T16 —92</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033E343">
            <w:pPr>
              <w:widowControl/>
              <w:spacing w:line="300" w:lineRule="auto"/>
              <w:ind w:left="480" w:firstLine="480" w:firstLineChars="200"/>
              <w:jc w:val="left"/>
              <w:rPr>
                <w:rFonts w:ascii="宋体" w:hAnsi="宋体" w:eastAsia="宋体" w:cs="宋体"/>
                <w:sz w:val="24"/>
                <w:szCs w:val="21"/>
              </w:rPr>
            </w:pPr>
          </w:p>
        </w:tc>
      </w:tr>
      <w:tr w14:paraId="4F88C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5B247DD3">
            <w:pPr>
              <w:widowControl/>
              <w:spacing w:line="300" w:lineRule="auto"/>
              <w:jc w:val="center"/>
              <w:rPr>
                <w:rFonts w:ascii="宋体" w:hAnsi="宋体" w:eastAsia="宋体" w:cs="宋体"/>
                <w:sz w:val="24"/>
                <w:szCs w:val="21"/>
              </w:rPr>
            </w:pPr>
            <w:r>
              <w:rPr>
                <w:rFonts w:hint="eastAsia" w:ascii="宋体" w:hAnsi="宋体" w:eastAsia="宋体" w:cs="宋体"/>
                <w:sz w:val="24"/>
                <w:szCs w:val="21"/>
              </w:rPr>
              <w:t>9</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67242CD5">
            <w:pPr>
              <w:widowControl/>
              <w:spacing w:line="300" w:lineRule="auto"/>
              <w:jc w:val="left"/>
              <w:rPr>
                <w:rFonts w:ascii="宋体" w:hAnsi="宋体" w:eastAsia="宋体" w:cs="宋体"/>
                <w:sz w:val="24"/>
                <w:szCs w:val="21"/>
              </w:rPr>
            </w:pPr>
            <w:r>
              <w:rPr>
                <w:rFonts w:hint="eastAsia" w:ascii="宋体" w:hAnsi="宋体" w:eastAsia="宋体" w:cs="宋体"/>
                <w:sz w:val="24"/>
                <w:szCs w:val="21"/>
              </w:rPr>
              <w:t>桥架设备安装工程作业及验收通用规范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0002A981">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GB50231—38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76382529">
            <w:pPr>
              <w:widowControl/>
              <w:spacing w:line="300" w:lineRule="auto"/>
              <w:ind w:left="480" w:firstLine="480" w:firstLineChars="200"/>
              <w:jc w:val="left"/>
              <w:rPr>
                <w:rFonts w:ascii="宋体" w:hAnsi="宋体" w:eastAsia="宋体" w:cs="宋体"/>
                <w:sz w:val="24"/>
                <w:szCs w:val="21"/>
              </w:rPr>
            </w:pPr>
          </w:p>
        </w:tc>
      </w:tr>
      <w:tr w14:paraId="31054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371CC126">
            <w:pPr>
              <w:widowControl/>
              <w:spacing w:line="300" w:lineRule="auto"/>
              <w:jc w:val="center"/>
              <w:rPr>
                <w:rFonts w:ascii="宋体" w:hAnsi="宋体" w:eastAsia="宋体" w:cs="宋体"/>
                <w:sz w:val="24"/>
                <w:szCs w:val="21"/>
              </w:rPr>
            </w:pPr>
            <w:r>
              <w:rPr>
                <w:rFonts w:hint="eastAsia" w:ascii="宋体" w:hAnsi="宋体" w:eastAsia="宋体" w:cs="宋体"/>
                <w:sz w:val="24"/>
                <w:szCs w:val="21"/>
              </w:rPr>
              <w:t>10</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60E7A17C">
            <w:pPr>
              <w:widowControl/>
              <w:spacing w:line="300" w:lineRule="auto"/>
              <w:jc w:val="left"/>
              <w:rPr>
                <w:rFonts w:ascii="宋体" w:hAnsi="宋体" w:eastAsia="宋体" w:cs="宋体"/>
                <w:sz w:val="24"/>
                <w:szCs w:val="21"/>
              </w:rPr>
            </w:pPr>
            <w:r>
              <w:rPr>
                <w:rFonts w:hint="eastAsia" w:ascii="宋体" w:hAnsi="宋体" w:eastAsia="宋体" w:cs="宋体"/>
                <w:sz w:val="24"/>
                <w:szCs w:val="21"/>
              </w:rPr>
              <w:t>连续输送设备安装工程作业及验收规范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100B705E">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GB50270—38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60C02EBA">
            <w:pPr>
              <w:widowControl/>
              <w:spacing w:line="300" w:lineRule="auto"/>
              <w:ind w:left="480" w:firstLine="480" w:firstLineChars="200"/>
              <w:jc w:val="left"/>
              <w:rPr>
                <w:rFonts w:ascii="宋体" w:hAnsi="宋体" w:eastAsia="宋体" w:cs="宋体"/>
                <w:sz w:val="24"/>
                <w:szCs w:val="21"/>
              </w:rPr>
            </w:pPr>
          </w:p>
        </w:tc>
      </w:tr>
      <w:tr w14:paraId="3772A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3F0542C6">
            <w:pPr>
              <w:widowControl/>
              <w:spacing w:line="300" w:lineRule="auto"/>
              <w:jc w:val="center"/>
              <w:rPr>
                <w:rFonts w:ascii="宋体" w:hAnsi="宋体" w:eastAsia="宋体" w:cs="宋体"/>
                <w:sz w:val="24"/>
                <w:szCs w:val="21"/>
              </w:rPr>
            </w:pPr>
            <w:r>
              <w:rPr>
                <w:rFonts w:hint="eastAsia" w:ascii="宋体" w:hAnsi="宋体" w:eastAsia="宋体" w:cs="宋体"/>
                <w:sz w:val="24"/>
                <w:szCs w:val="21"/>
              </w:rPr>
              <w:t>11</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2CA2D997">
            <w:pPr>
              <w:widowControl/>
              <w:spacing w:line="300" w:lineRule="auto"/>
              <w:jc w:val="left"/>
              <w:rPr>
                <w:rFonts w:ascii="宋体" w:hAnsi="宋体" w:eastAsia="宋体" w:cs="宋体"/>
                <w:sz w:val="24"/>
                <w:szCs w:val="21"/>
              </w:rPr>
            </w:pPr>
            <w:r>
              <w:rPr>
                <w:rFonts w:hint="eastAsia" w:ascii="宋体" w:hAnsi="宋体" w:eastAsia="宋体" w:cs="宋体"/>
                <w:sz w:val="24"/>
                <w:szCs w:val="21"/>
              </w:rPr>
              <w:t>金属切削机床安装工程作业及验收规范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687AD576">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GB50271—38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30851411">
            <w:pPr>
              <w:widowControl/>
              <w:spacing w:line="300" w:lineRule="auto"/>
              <w:ind w:left="480" w:firstLine="480" w:firstLineChars="200"/>
              <w:jc w:val="left"/>
              <w:rPr>
                <w:rFonts w:ascii="宋体" w:hAnsi="宋体" w:eastAsia="宋体" w:cs="宋体"/>
                <w:sz w:val="24"/>
                <w:szCs w:val="21"/>
              </w:rPr>
            </w:pPr>
          </w:p>
        </w:tc>
      </w:tr>
      <w:tr w14:paraId="0FF1E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00AE08A0">
            <w:pPr>
              <w:widowControl/>
              <w:spacing w:line="300" w:lineRule="auto"/>
              <w:jc w:val="center"/>
              <w:rPr>
                <w:rFonts w:ascii="宋体" w:hAnsi="宋体" w:eastAsia="宋体" w:cs="宋体"/>
                <w:sz w:val="24"/>
                <w:szCs w:val="21"/>
              </w:rPr>
            </w:pPr>
            <w:r>
              <w:rPr>
                <w:rFonts w:hint="eastAsia" w:ascii="宋体" w:hAnsi="宋体" w:eastAsia="宋体" w:cs="宋体"/>
                <w:sz w:val="24"/>
                <w:szCs w:val="21"/>
              </w:rPr>
              <w:t>12</w:t>
            </w:r>
          </w:p>
        </w:tc>
        <w:tc>
          <w:tcPr>
            <w:tcW w:w="1987" w:type="pct"/>
            <w:tcBorders>
              <w:top w:val="single" w:color="auto" w:sz="4" w:space="0"/>
              <w:left w:val="single" w:color="auto" w:sz="4" w:space="0"/>
              <w:bottom w:val="single" w:color="auto" w:sz="4" w:space="0"/>
              <w:right w:val="single" w:color="auto" w:sz="4" w:space="0"/>
              <w:tl2br w:val="nil"/>
              <w:tr2bl w:val="nil"/>
            </w:tcBorders>
            <w:vAlign w:val="center"/>
          </w:tcPr>
          <w:p w14:paraId="7A5001BF">
            <w:pPr>
              <w:widowControl/>
              <w:spacing w:line="300" w:lineRule="auto"/>
              <w:jc w:val="left"/>
              <w:rPr>
                <w:rFonts w:ascii="宋体" w:hAnsi="宋体" w:eastAsia="宋体" w:cs="宋体"/>
                <w:sz w:val="24"/>
                <w:szCs w:val="21"/>
              </w:rPr>
            </w:pPr>
            <w:r>
              <w:rPr>
                <w:rFonts w:hint="eastAsia" w:ascii="宋体" w:hAnsi="宋体" w:eastAsia="宋体" w:cs="宋体"/>
                <w:sz w:val="24"/>
                <w:szCs w:val="21"/>
              </w:rPr>
              <w:t>起重设备安装工程作业及验收规范</w:t>
            </w:r>
          </w:p>
        </w:tc>
        <w:tc>
          <w:tcPr>
            <w:tcW w:w="1444" w:type="pct"/>
            <w:tcBorders>
              <w:top w:val="single" w:color="auto" w:sz="4" w:space="0"/>
              <w:left w:val="single" w:color="auto" w:sz="4" w:space="0"/>
              <w:bottom w:val="single" w:color="auto" w:sz="4" w:space="0"/>
              <w:right w:val="single" w:color="auto" w:sz="4" w:space="0"/>
              <w:tl2br w:val="nil"/>
              <w:tr2bl w:val="nil"/>
            </w:tcBorders>
            <w:vAlign w:val="center"/>
          </w:tcPr>
          <w:p w14:paraId="7CB516BC">
            <w:pPr>
              <w:widowControl/>
              <w:spacing w:line="300" w:lineRule="auto"/>
              <w:jc w:val="left"/>
              <w:rPr>
                <w:rFonts w:ascii="宋体" w:hAnsi="宋体" w:eastAsia="宋体" w:cs="宋体"/>
                <w:sz w:val="24"/>
                <w:szCs w:val="21"/>
              </w:rPr>
            </w:pPr>
            <w:r>
              <w:rPr>
                <w:rFonts w:hint="eastAsia" w:ascii="宋体" w:hAnsi="宋体" w:eastAsia="宋体" w:cs="宋体"/>
                <w:sz w:val="24"/>
                <w:szCs w:val="21"/>
              </w:rPr>
              <w:t>GB50278—98</w:t>
            </w:r>
          </w:p>
        </w:tc>
        <w:tc>
          <w:tcPr>
            <w:tcW w:w="784" w:type="pct"/>
            <w:tcBorders>
              <w:top w:val="single" w:color="auto" w:sz="4" w:space="0"/>
              <w:left w:val="single" w:color="auto" w:sz="4" w:space="0"/>
              <w:bottom w:val="single" w:color="auto" w:sz="4" w:space="0"/>
              <w:right w:val="single" w:color="auto" w:sz="4" w:space="0"/>
              <w:tl2br w:val="nil"/>
              <w:tr2bl w:val="nil"/>
            </w:tcBorders>
            <w:vAlign w:val="center"/>
          </w:tcPr>
          <w:p w14:paraId="176AA331">
            <w:pPr>
              <w:widowControl/>
              <w:spacing w:line="300" w:lineRule="auto"/>
              <w:ind w:left="480" w:firstLine="480" w:firstLineChars="200"/>
              <w:jc w:val="left"/>
              <w:rPr>
                <w:rFonts w:ascii="宋体" w:hAnsi="宋体" w:eastAsia="宋体" w:cs="宋体"/>
                <w:sz w:val="24"/>
                <w:szCs w:val="21"/>
              </w:rPr>
            </w:pPr>
          </w:p>
        </w:tc>
      </w:tr>
    </w:tbl>
    <w:p w14:paraId="19831CE8">
      <w:pPr>
        <w:widowControl/>
        <w:spacing w:after="120" w:line="360" w:lineRule="auto"/>
        <w:ind w:firstLine="480" w:firstLineChars="200"/>
        <w:jc w:val="left"/>
        <w:rPr>
          <w:rFonts w:ascii="宋体" w:hAnsi="宋体" w:eastAsia="宋体" w:cs="宋体"/>
          <w:color w:val="333333"/>
          <w:sz w:val="24"/>
          <w:szCs w:val="24"/>
          <w:shd w:val="clear" w:color="auto" w:fill="FFFFFF"/>
        </w:rPr>
      </w:pPr>
      <w:r>
        <w:rPr>
          <w:rFonts w:hint="eastAsia" w:ascii="宋体" w:hAnsi="宋体" w:eastAsia="宋体" w:cs="宋体"/>
          <w:color w:val="333333"/>
          <w:sz w:val="24"/>
          <w:szCs w:val="24"/>
          <w:shd w:val="clear" w:color="auto" w:fill="FFFFFF"/>
        </w:rPr>
        <w:t>注：在安装期间，若有新标准出现，则以新标准为准。</w:t>
      </w:r>
    </w:p>
    <w:p w14:paraId="76B012EA">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设备起吊方案</w:t>
      </w:r>
    </w:p>
    <w:p w14:paraId="6F0E57C1">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本项目中，单个设备可能由多个部分组成，单个部分的最大重量约</w:t>
      </w:r>
      <w:r>
        <w:rPr>
          <w:rFonts w:ascii="宋体" w:hAnsi="宋体" w:eastAsia="宋体" w:cs="宋体"/>
          <w:color w:val="FF0000"/>
          <w:sz w:val="24"/>
          <w:szCs w:val="24"/>
        </w:rPr>
        <w:t>3</w:t>
      </w:r>
      <w:r>
        <w:rPr>
          <w:rFonts w:hint="eastAsia" w:ascii="宋体" w:hAnsi="宋体" w:eastAsia="宋体" w:cs="宋体"/>
          <w:color w:val="FF0000"/>
          <w:sz w:val="24"/>
          <w:szCs w:val="24"/>
        </w:rPr>
        <w:t>吨。</w:t>
      </w:r>
    </w:p>
    <w:p w14:paraId="5EF19159">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吊装前首要条件是保护好设备，对超长、超宽、超高的设备在双方协商共识后解体搬迁。</w:t>
      </w:r>
    </w:p>
    <w:p w14:paraId="4FE2CDDF">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气压脉冲试验台位于3号试验室2层，计划采用地牛在本层移动至货运电梯，经货运电梯下降至1层。</w:t>
      </w:r>
    </w:p>
    <w:p w14:paraId="2D13B2DD">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其余两台设备均位于1楼，可通过叉车或地牛移动。</w:t>
      </w:r>
    </w:p>
    <w:p w14:paraId="344161F8">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设备装车采用</w:t>
      </w:r>
      <w:r>
        <w:rPr>
          <w:rFonts w:ascii="宋体" w:hAnsi="宋体" w:eastAsia="宋体" w:cs="宋体"/>
          <w:color w:val="FF0000"/>
          <w:sz w:val="24"/>
          <w:szCs w:val="24"/>
        </w:rPr>
        <w:t>至少</w:t>
      </w:r>
      <w:r>
        <w:rPr>
          <w:rFonts w:hint="eastAsia" w:ascii="宋体" w:hAnsi="宋体" w:eastAsia="宋体" w:cs="宋体"/>
          <w:color w:val="FF0000"/>
          <w:sz w:val="24"/>
          <w:szCs w:val="24"/>
        </w:rPr>
        <w:t>5吨叉车进行。</w:t>
      </w:r>
    </w:p>
    <w:p w14:paraId="5183BAF7">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设备拆除方案</w:t>
      </w:r>
    </w:p>
    <w:p w14:paraId="5B235EFB">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试验室设备的安装方式主要有两种：</w:t>
      </w:r>
    </w:p>
    <w:p w14:paraId="2EE52646">
      <w:pPr>
        <w:widowControl/>
        <w:numPr>
          <w:ilvl w:val="0"/>
          <w:numId w:val="27"/>
        </w:numPr>
        <w:spacing w:line="360" w:lineRule="auto"/>
        <w:ind w:firstLine="480" w:firstLineChars="200"/>
        <w:jc w:val="left"/>
        <w:rPr>
          <w:rFonts w:ascii="Times New Roman" w:hAnsi="Times New Roman" w:eastAsia="宋体" w:cs="Times New Roman"/>
          <w:sz w:val="24"/>
          <w:szCs w:val="20"/>
          <w:highlight w:val="yellow"/>
        </w:rPr>
      </w:pPr>
      <w:r>
        <w:rPr>
          <w:rFonts w:hint="eastAsia" w:ascii="Times New Roman" w:hAnsi="Times New Roman" w:eastAsia="宋体" w:cs="Times New Roman"/>
          <w:sz w:val="24"/>
          <w:szCs w:val="20"/>
          <w:highlight w:val="yellow"/>
        </w:rPr>
        <w:t>第一种为铁地板，混凝土浇灌(座椅头枕强度试验台</w:t>
      </w:r>
      <w:r>
        <w:rPr>
          <w:rFonts w:ascii="Times New Roman" w:hAnsi="Times New Roman" w:eastAsia="宋体" w:cs="Times New Roman"/>
          <w:sz w:val="24"/>
          <w:szCs w:val="20"/>
          <w:highlight w:val="yellow"/>
        </w:rPr>
        <w:t>)</w:t>
      </w:r>
      <w:r>
        <w:rPr>
          <w:rFonts w:hint="eastAsia" w:ascii="Times New Roman" w:hAnsi="Times New Roman" w:eastAsia="宋体" w:cs="Times New Roman"/>
          <w:sz w:val="24"/>
          <w:szCs w:val="20"/>
          <w:highlight w:val="yellow"/>
        </w:rPr>
        <w:t>；搬迁后平落在地平上。</w:t>
      </w:r>
    </w:p>
    <w:p w14:paraId="654CE8E2">
      <w:pPr>
        <w:widowControl/>
        <w:spacing w:line="360" w:lineRule="auto"/>
        <w:ind w:firstLine="420"/>
        <w:jc w:val="left"/>
        <w:rPr>
          <w:rFonts w:ascii="宋体" w:hAnsi="宋体" w:eastAsia="宋体" w:cs="宋体"/>
          <w:sz w:val="24"/>
          <w:szCs w:val="24"/>
        </w:rPr>
      </w:pPr>
      <w:r>
        <w:rPr>
          <w:rFonts w:hint="eastAsia" w:ascii="宋体" w:hAnsi="宋体" w:eastAsia="宋体" w:cs="宋体"/>
          <w:sz w:val="24"/>
          <w:szCs w:val="24"/>
        </w:rPr>
        <w:t>座椅</w:t>
      </w:r>
      <w:r>
        <w:rPr>
          <w:rFonts w:hint="eastAsia" w:ascii="宋体" w:hAnsi="宋体" w:eastAsia="宋体" w:cs="宋体"/>
          <w:sz w:val="24"/>
          <w:szCs w:val="24"/>
          <w:highlight w:val="yellow"/>
        </w:rPr>
        <w:t>头枕强度试验台铁地板四周混凝土</w:t>
      </w:r>
      <w:r>
        <w:rPr>
          <w:rFonts w:hint="eastAsia" w:ascii="宋体" w:hAnsi="宋体" w:eastAsia="宋体" w:cs="宋体"/>
          <w:sz w:val="24"/>
          <w:szCs w:val="24"/>
        </w:rPr>
        <w:t>破拆也由投标方负责，破拆前座椅</w:t>
      </w:r>
      <w:r>
        <w:rPr>
          <w:rFonts w:hint="eastAsia" w:ascii="宋体" w:hAnsi="宋体" w:eastAsia="宋体" w:cs="宋体"/>
          <w:sz w:val="24"/>
          <w:szCs w:val="24"/>
          <w:highlight w:val="yellow"/>
        </w:rPr>
        <w:t>头枕强度投标方应用塑料布将试验台全部罩住，以防灰尘进入到设备内。</w:t>
      </w:r>
    </w:p>
    <w:p w14:paraId="26F29170">
      <w:pPr>
        <w:widowControl/>
        <w:spacing w:line="360" w:lineRule="auto"/>
        <w:ind w:left="900"/>
        <w:jc w:val="left"/>
        <w:rPr>
          <w:rFonts w:ascii="宋体" w:hAnsi="宋体" w:eastAsia="宋体" w:cs="宋体"/>
          <w:sz w:val="24"/>
          <w:szCs w:val="24"/>
        </w:rPr>
      </w:pPr>
      <w:r>
        <w:rPr>
          <w:rFonts w:ascii="宋体" w:hAnsi="宋体" w:eastAsia="宋体" w:cs="宋体"/>
          <w:sz w:val="24"/>
          <w:szCs w:val="24"/>
        </w:rPr>
        <w:drawing>
          <wp:inline distT="0" distB="0" distL="0" distR="0">
            <wp:extent cx="2698750" cy="3599815"/>
            <wp:effectExtent l="0" t="0" r="6350" b="63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a:xfrm>
                      <a:off x="0" y="0"/>
                      <a:ext cx="2699182" cy="3600000"/>
                    </a:xfrm>
                    <a:prstGeom prst="rect">
                      <a:avLst/>
                    </a:prstGeom>
                    <a:noFill/>
                    <a:ln>
                      <a:noFill/>
                    </a:ln>
                  </pic:spPr>
                </pic:pic>
              </a:graphicData>
            </a:graphic>
          </wp:inline>
        </w:drawing>
      </w:r>
    </w:p>
    <w:p w14:paraId="44D9FE6E">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highlight w:val="yellow"/>
        </w:rPr>
        <w:t>第二种为直接放置到地平上（气压脉冲试验台、多楔带疲劳试验</w:t>
      </w:r>
      <w:r>
        <w:rPr>
          <w:rFonts w:hint="eastAsia" w:ascii="Times New Roman" w:hAnsi="Times New Roman" w:eastAsia="宋体" w:cs="Times New Roman"/>
          <w:sz w:val="24"/>
          <w:szCs w:val="20"/>
        </w:rPr>
        <w:t>台）。</w:t>
      </w:r>
    </w:p>
    <w:p w14:paraId="7D9434AC">
      <w:pPr>
        <w:widowControl/>
        <w:spacing w:after="120"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设备拆除时需要采取保护措施，减少震动和碰撞。精密元器件或脆弱的配件需拆除下来装箱保护。</w:t>
      </w:r>
    </w:p>
    <w:p w14:paraId="1B17D1BF">
      <w:pPr>
        <w:widowControl/>
        <w:spacing w:line="360" w:lineRule="auto"/>
        <w:ind w:left="480" w:firstLine="480" w:firstLineChars="200"/>
        <w:jc w:val="left"/>
        <w:rPr>
          <w:rFonts w:ascii="宋体" w:hAnsi="宋体" w:eastAsia="宋体" w:cs="宋体"/>
          <w:sz w:val="24"/>
          <w:szCs w:val="24"/>
        </w:rPr>
      </w:pPr>
    </w:p>
    <w:p w14:paraId="17CC14BA">
      <w:pPr>
        <w:widowControl/>
        <w:spacing w:line="360" w:lineRule="auto"/>
        <w:ind w:left="480" w:firstLine="480" w:firstLineChars="200"/>
        <w:jc w:val="left"/>
        <w:rPr>
          <w:rFonts w:ascii="Times New Roman" w:hAnsi="Times New Roman" w:eastAsia="宋体" w:cs="Times New Roman"/>
          <w:sz w:val="24"/>
          <w:szCs w:val="20"/>
        </w:rPr>
        <w:sectPr>
          <w:pgSz w:w="11906" w:h="16838"/>
          <w:pgMar w:top="1440" w:right="1077" w:bottom="1440" w:left="1077" w:header="851" w:footer="992" w:gutter="0"/>
          <w:cols w:space="720" w:num="1"/>
          <w:docGrid w:type="lines" w:linePitch="312" w:charSpace="-3931"/>
        </w:sectPr>
      </w:pPr>
    </w:p>
    <w:p w14:paraId="7858E94A">
      <w:pPr>
        <w:keepNext/>
        <w:keepLines/>
        <w:widowControl/>
        <w:numPr>
          <w:ilvl w:val="0"/>
          <w:numId w:val="22"/>
        </w:numPr>
        <w:spacing w:line="360" w:lineRule="auto"/>
        <w:ind w:left="420" w:firstLine="442" w:firstLineChars="200"/>
        <w:jc w:val="left"/>
        <w:outlineLvl w:val="2"/>
        <w:rPr>
          <w:rFonts w:ascii="Times New Roman" w:hAnsi="Times New Roman" w:eastAsia="宋体" w:cs="Times New Roman"/>
          <w:b/>
          <w:bCs/>
          <w:sz w:val="24"/>
          <w:szCs w:val="32"/>
          <w:lang w:val="zh-CN"/>
        </w:rPr>
      </w:pPr>
      <w:bookmarkStart w:id="45" w:name="_Toc142725004"/>
      <w:r>
        <w:rPr>
          <w:rFonts w:hint="eastAsia" w:ascii="Times New Roman" w:hAnsi="Times New Roman" w:eastAsia="宋体" w:cs="Times New Roman"/>
          <w:b/>
          <w:bCs/>
          <w:sz w:val="24"/>
          <w:szCs w:val="32"/>
          <w:lang w:val="zh-CN"/>
        </w:rPr>
        <w:t>技术性能参数要求</w:t>
      </w:r>
      <w:bookmarkEnd w:id="45"/>
    </w:p>
    <w:p w14:paraId="34DC0F1B">
      <w:pPr>
        <w:widowControl/>
        <w:spacing w:line="360" w:lineRule="auto"/>
        <w:ind w:left="443" w:firstLine="442" w:firstLineChars="200"/>
        <w:jc w:val="center"/>
        <w:rPr>
          <w:rFonts w:ascii="宋体" w:hAnsi="宋体" w:eastAsia="宋体" w:cs="宋体"/>
          <w:b/>
          <w:color w:val="000000"/>
          <w:kern w:val="0"/>
          <w:sz w:val="24"/>
          <w:szCs w:val="24"/>
        </w:rPr>
      </w:pPr>
      <w:r>
        <w:rPr>
          <w:rFonts w:hint="eastAsia" w:ascii="宋体" w:hAnsi="宋体" w:eastAsia="宋体" w:cs="宋体"/>
          <w:b/>
          <w:color w:val="000000"/>
          <w:kern w:val="0"/>
          <w:sz w:val="24"/>
          <w:szCs w:val="24"/>
        </w:rPr>
        <w:t>★表3：试验室搬迁设备调试技术要求</w:t>
      </w:r>
    </w:p>
    <w:tbl>
      <w:tblPr>
        <w:tblStyle w:val="45"/>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1109"/>
        <w:gridCol w:w="842"/>
        <w:gridCol w:w="3596"/>
        <w:gridCol w:w="3460"/>
        <w:gridCol w:w="2650"/>
        <w:gridCol w:w="1066"/>
        <w:gridCol w:w="808"/>
      </w:tblGrid>
      <w:tr w14:paraId="531DB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225"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45B7A2FA">
            <w:pPr>
              <w:widowControl/>
              <w:jc w:val="left"/>
              <w:rPr>
                <w:rFonts w:ascii="宋体" w:hAnsi="宋体" w:eastAsia="宋体" w:cs="Times New Roman"/>
                <w:szCs w:val="21"/>
              </w:rPr>
            </w:pPr>
            <w:r>
              <w:rPr>
                <w:rFonts w:hint="eastAsia" w:ascii="宋体" w:hAnsi="宋体" w:eastAsia="宋体" w:cs="Times New Roman"/>
                <w:szCs w:val="21"/>
              </w:rPr>
              <w:t>序号</w:t>
            </w:r>
          </w:p>
        </w:tc>
        <w:tc>
          <w:tcPr>
            <w:tcW w:w="391"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390760AD">
            <w:pPr>
              <w:widowControl/>
              <w:jc w:val="left"/>
              <w:rPr>
                <w:rFonts w:ascii="宋体" w:hAnsi="宋体" w:eastAsia="宋体" w:cs="Times New Roman"/>
                <w:szCs w:val="21"/>
              </w:rPr>
            </w:pPr>
            <w:r>
              <w:rPr>
                <w:rFonts w:hint="eastAsia" w:ascii="宋体" w:hAnsi="宋体" w:eastAsia="宋体" w:cs="Times New Roman"/>
                <w:szCs w:val="21"/>
              </w:rPr>
              <w:t>系统名称</w:t>
            </w:r>
          </w:p>
        </w:tc>
        <w:tc>
          <w:tcPr>
            <w:tcW w:w="297"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4E28E203">
            <w:pPr>
              <w:widowControl/>
              <w:jc w:val="left"/>
              <w:rPr>
                <w:rFonts w:ascii="宋体" w:hAnsi="宋体" w:eastAsia="宋体" w:cs="Times New Roman"/>
                <w:szCs w:val="21"/>
              </w:rPr>
            </w:pPr>
            <w:r>
              <w:rPr>
                <w:rFonts w:hint="eastAsia" w:ascii="宋体" w:hAnsi="宋体" w:eastAsia="宋体" w:cs="Times New Roman"/>
                <w:szCs w:val="21"/>
              </w:rPr>
              <w:t>是否恢复搬迁前状态</w:t>
            </w:r>
          </w:p>
        </w:tc>
        <w:tc>
          <w:tcPr>
            <w:tcW w:w="1268"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7B7FC3D5">
            <w:pPr>
              <w:widowControl/>
              <w:jc w:val="left"/>
              <w:rPr>
                <w:rFonts w:ascii="宋体" w:hAnsi="宋体" w:eastAsia="宋体" w:cs="Times New Roman"/>
                <w:szCs w:val="21"/>
              </w:rPr>
            </w:pPr>
            <w:r>
              <w:rPr>
                <w:rFonts w:hint="eastAsia" w:ascii="宋体" w:hAnsi="宋体" w:eastAsia="宋体" w:cs="Times New Roman"/>
                <w:szCs w:val="21"/>
              </w:rPr>
              <w:t>搬迁后可能产生的变动情况说明</w:t>
            </w:r>
          </w:p>
        </w:tc>
        <w:tc>
          <w:tcPr>
            <w:tcW w:w="2154" w:type="pct"/>
            <w:gridSpan w:val="2"/>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0B38670F">
            <w:pPr>
              <w:widowControl/>
              <w:jc w:val="left"/>
              <w:rPr>
                <w:rFonts w:ascii="宋体" w:hAnsi="宋体" w:eastAsia="宋体" w:cs="Times New Roman"/>
                <w:szCs w:val="21"/>
              </w:rPr>
            </w:pPr>
            <w:r>
              <w:rPr>
                <w:rFonts w:hint="eastAsia" w:ascii="宋体" w:hAnsi="宋体" w:eastAsia="宋体" w:cs="Times New Roman"/>
                <w:szCs w:val="21"/>
              </w:rPr>
              <w:t>安装、调试过程中的注意事项及常规检查</w:t>
            </w:r>
          </w:p>
        </w:tc>
        <w:tc>
          <w:tcPr>
            <w:tcW w:w="376"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4BDE3164">
            <w:pPr>
              <w:widowControl/>
              <w:jc w:val="left"/>
              <w:rPr>
                <w:rFonts w:ascii="宋体" w:hAnsi="宋体" w:eastAsia="宋体" w:cs="Times New Roman"/>
                <w:szCs w:val="21"/>
              </w:rPr>
            </w:pPr>
            <w:r>
              <w:rPr>
                <w:rFonts w:hint="eastAsia" w:ascii="宋体" w:hAnsi="宋体" w:eastAsia="宋体" w:cs="Times New Roman"/>
                <w:szCs w:val="21"/>
              </w:rPr>
              <w:t>是否需要培训及培训项目</w:t>
            </w:r>
          </w:p>
        </w:tc>
        <w:tc>
          <w:tcPr>
            <w:tcW w:w="285" w:type="pct"/>
            <w:vMerge w:val="restar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335218E2">
            <w:pPr>
              <w:widowControl/>
              <w:jc w:val="left"/>
              <w:rPr>
                <w:rFonts w:ascii="宋体" w:hAnsi="宋体" w:eastAsia="宋体" w:cs="Times New Roman"/>
                <w:szCs w:val="21"/>
              </w:rPr>
            </w:pPr>
            <w:r>
              <w:rPr>
                <w:rFonts w:hint="eastAsia" w:ascii="宋体" w:hAnsi="宋体" w:eastAsia="宋体" w:cs="Times New Roman"/>
                <w:szCs w:val="21"/>
              </w:rPr>
              <w:t>备注</w:t>
            </w:r>
          </w:p>
        </w:tc>
      </w:tr>
      <w:tr w14:paraId="726CB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4" w:hRule="atLeast"/>
        </w:trPr>
        <w:tc>
          <w:tcPr>
            <w:tcW w:w="225"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7D219331">
            <w:pPr>
              <w:widowControl/>
              <w:jc w:val="left"/>
              <w:rPr>
                <w:rFonts w:ascii="宋体" w:hAnsi="宋体" w:eastAsia="宋体" w:cs="Times New Roman"/>
                <w:szCs w:val="21"/>
              </w:rPr>
            </w:pPr>
          </w:p>
        </w:tc>
        <w:tc>
          <w:tcPr>
            <w:tcW w:w="391"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3963B67D">
            <w:pPr>
              <w:widowControl/>
              <w:jc w:val="left"/>
              <w:rPr>
                <w:rFonts w:ascii="宋体" w:hAnsi="宋体" w:eastAsia="宋体" w:cs="Times New Roman"/>
                <w:szCs w:val="21"/>
              </w:rPr>
            </w:pPr>
          </w:p>
        </w:tc>
        <w:tc>
          <w:tcPr>
            <w:tcW w:w="297"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2405D10C">
            <w:pPr>
              <w:widowControl/>
              <w:jc w:val="left"/>
              <w:rPr>
                <w:rFonts w:ascii="宋体" w:hAnsi="宋体" w:eastAsia="宋体" w:cs="Times New Roman"/>
                <w:szCs w:val="21"/>
              </w:rPr>
            </w:pPr>
          </w:p>
        </w:tc>
        <w:tc>
          <w:tcPr>
            <w:tcW w:w="1268"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777AAC53">
            <w:pPr>
              <w:widowControl/>
              <w:jc w:val="left"/>
              <w:rPr>
                <w:rFonts w:ascii="宋体" w:hAnsi="宋体" w:eastAsia="宋体" w:cs="Times New Roman"/>
                <w:szCs w:val="21"/>
              </w:rPr>
            </w:pPr>
          </w:p>
        </w:tc>
        <w:tc>
          <w:tcPr>
            <w:tcW w:w="1220"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67235980">
            <w:pPr>
              <w:widowControl/>
              <w:jc w:val="left"/>
              <w:rPr>
                <w:rFonts w:ascii="宋体" w:hAnsi="宋体" w:eastAsia="宋体" w:cs="Times New Roman"/>
                <w:szCs w:val="21"/>
              </w:rPr>
            </w:pPr>
            <w:r>
              <w:rPr>
                <w:rFonts w:hint="eastAsia" w:ascii="宋体" w:hAnsi="宋体" w:eastAsia="宋体" w:cs="Times New Roman"/>
                <w:szCs w:val="21"/>
              </w:rPr>
              <w:t>机械部分</w:t>
            </w:r>
          </w:p>
        </w:tc>
        <w:tc>
          <w:tcPr>
            <w:tcW w:w="934" w:type="pct"/>
            <w:tcBorders>
              <w:top w:val="single" w:color="auto" w:sz="4" w:space="0"/>
              <w:left w:val="single" w:color="auto" w:sz="4" w:space="0"/>
              <w:bottom w:val="single" w:color="auto" w:sz="4" w:space="0"/>
              <w:right w:val="single" w:color="auto" w:sz="4" w:space="0"/>
              <w:tl2br w:val="nil"/>
              <w:tr2bl w:val="nil"/>
            </w:tcBorders>
            <w:shd w:val="clear" w:color="auto" w:fill="F79646"/>
            <w:noWrap/>
            <w:vAlign w:val="center"/>
          </w:tcPr>
          <w:p w14:paraId="1045E683">
            <w:pPr>
              <w:widowControl/>
              <w:jc w:val="left"/>
              <w:rPr>
                <w:rFonts w:ascii="宋体" w:hAnsi="宋体" w:eastAsia="宋体" w:cs="Times New Roman"/>
                <w:szCs w:val="21"/>
              </w:rPr>
            </w:pPr>
            <w:r>
              <w:rPr>
                <w:rFonts w:hint="eastAsia" w:ascii="宋体" w:hAnsi="宋体" w:eastAsia="宋体" w:cs="Times New Roman"/>
                <w:szCs w:val="21"/>
              </w:rPr>
              <w:t>软件部分</w:t>
            </w:r>
          </w:p>
        </w:tc>
        <w:tc>
          <w:tcPr>
            <w:tcW w:w="376"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1B431367">
            <w:pPr>
              <w:widowControl/>
              <w:jc w:val="left"/>
              <w:rPr>
                <w:rFonts w:ascii="宋体" w:hAnsi="宋体" w:eastAsia="宋体" w:cs="Times New Roman"/>
                <w:szCs w:val="21"/>
              </w:rPr>
            </w:pPr>
          </w:p>
        </w:tc>
        <w:tc>
          <w:tcPr>
            <w:tcW w:w="285" w:type="pct"/>
            <w:vMerge w:val="continue"/>
            <w:tcBorders>
              <w:top w:val="single" w:color="auto" w:sz="4" w:space="0"/>
              <w:left w:val="single" w:color="auto" w:sz="4" w:space="0"/>
              <w:bottom w:val="single" w:color="auto" w:sz="4" w:space="0"/>
              <w:right w:val="single" w:color="auto" w:sz="4" w:space="0"/>
              <w:tl2br w:val="nil"/>
              <w:tr2bl w:val="nil"/>
            </w:tcBorders>
            <w:shd w:val="clear" w:color="auto" w:fill="F79646"/>
            <w:vAlign w:val="center"/>
          </w:tcPr>
          <w:p w14:paraId="7D4AE2A4">
            <w:pPr>
              <w:widowControl/>
              <w:jc w:val="left"/>
              <w:rPr>
                <w:rFonts w:ascii="宋体" w:hAnsi="宋体" w:eastAsia="宋体" w:cs="Times New Roman"/>
                <w:szCs w:val="21"/>
              </w:rPr>
            </w:pPr>
          </w:p>
        </w:tc>
      </w:tr>
      <w:tr w14:paraId="66552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5" w:type="pct"/>
            <w:tcBorders>
              <w:top w:val="single" w:color="auto" w:sz="4" w:space="0"/>
              <w:left w:val="single" w:color="auto" w:sz="4" w:space="0"/>
              <w:bottom w:val="single" w:color="auto" w:sz="4" w:space="0"/>
              <w:right w:val="single" w:color="auto" w:sz="4" w:space="0"/>
              <w:tl2br w:val="nil"/>
              <w:tr2bl w:val="nil"/>
            </w:tcBorders>
            <w:vAlign w:val="center"/>
          </w:tcPr>
          <w:p w14:paraId="004BA5A2">
            <w:pPr>
              <w:widowControl/>
              <w:jc w:val="left"/>
              <w:rPr>
                <w:rFonts w:ascii="宋体" w:hAnsi="宋体" w:eastAsia="宋体" w:cs="Times New Roman"/>
                <w:szCs w:val="21"/>
              </w:rPr>
            </w:pPr>
            <w:r>
              <w:rPr>
                <w:rFonts w:hint="eastAsia" w:ascii="宋体" w:hAnsi="宋体" w:eastAsia="宋体" w:cs="Times New Roman"/>
                <w:szCs w:val="21"/>
              </w:rPr>
              <w:t>1</w:t>
            </w:r>
          </w:p>
        </w:tc>
        <w:tc>
          <w:tcPr>
            <w:tcW w:w="391" w:type="pct"/>
            <w:tcBorders>
              <w:top w:val="single" w:color="auto" w:sz="4" w:space="0"/>
              <w:left w:val="single" w:color="auto" w:sz="4" w:space="0"/>
              <w:bottom w:val="single" w:color="auto" w:sz="4" w:space="0"/>
              <w:right w:val="single" w:color="auto" w:sz="4" w:space="0"/>
              <w:tl2br w:val="nil"/>
              <w:tr2bl w:val="nil"/>
            </w:tcBorders>
            <w:vAlign w:val="center"/>
          </w:tcPr>
          <w:p w14:paraId="3233209C">
            <w:pPr>
              <w:widowControl/>
              <w:jc w:val="left"/>
              <w:rPr>
                <w:rFonts w:ascii="宋体" w:hAnsi="宋体" w:eastAsia="宋体" w:cs="Times New Roman"/>
                <w:szCs w:val="21"/>
              </w:rPr>
            </w:pPr>
            <w:r>
              <w:rPr>
                <w:rFonts w:hint="eastAsia" w:ascii="宋体" w:hAnsi="宋体" w:eastAsia="宋体" w:cs="Times New Roman"/>
                <w:szCs w:val="21"/>
              </w:rPr>
              <w:t>气压脉冲试验台</w:t>
            </w:r>
          </w:p>
        </w:tc>
        <w:tc>
          <w:tcPr>
            <w:tcW w:w="297" w:type="pct"/>
            <w:tcBorders>
              <w:top w:val="single" w:color="auto" w:sz="4" w:space="0"/>
              <w:left w:val="single" w:color="auto" w:sz="4" w:space="0"/>
              <w:bottom w:val="single" w:color="auto" w:sz="4" w:space="0"/>
              <w:right w:val="single" w:color="auto" w:sz="4" w:space="0"/>
              <w:tl2br w:val="nil"/>
              <w:tr2bl w:val="nil"/>
            </w:tcBorders>
            <w:vAlign w:val="center"/>
          </w:tcPr>
          <w:p w14:paraId="59DC254C">
            <w:pPr>
              <w:widowControl/>
              <w:jc w:val="left"/>
              <w:rPr>
                <w:rFonts w:ascii="宋体" w:hAnsi="宋体" w:eastAsia="宋体" w:cs="Times New Roman"/>
                <w:szCs w:val="21"/>
              </w:rPr>
            </w:pPr>
            <w:r>
              <w:rPr>
                <w:rFonts w:hint="eastAsia" w:ascii="宋体" w:hAnsi="宋体" w:eastAsia="宋体" w:cs="Times New Roman"/>
                <w:szCs w:val="21"/>
              </w:rPr>
              <w:t>是</w:t>
            </w:r>
          </w:p>
        </w:tc>
        <w:tc>
          <w:tcPr>
            <w:tcW w:w="1268" w:type="pct"/>
            <w:tcBorders>
              <w:top w:val="single" w:color="auto" w:sz="4" w:space="0"/>
              <w:left w:val="single" w:color="auto" w:sz="4" w:space="0"/>
              <w:bottom w:val="single" w:color="auto" w:sz="4" w:space="0"/>
              <w:right w:val="single" w:color="auto" w:sz="4" w:space="0"/>
              <w:tl2br w:val="nil"/>
              <w:tr2bl w:val="nil"/>
            </w:tcBorders>
            <w:vAlign w:val="center"/>
          </w:tcPr>
          <w:p w14:paraId="1664BE8A">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搬迁后外部至台架的阀门、管路与原路径不一致，可能会有管道的更改、新增或剩余。</w:t>
            </w:r>
          </w:p>
          <w:p w14:paraId="37A9C721">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因线缆路径变化，可能会有高低压线缆的新增或剩余。</w:t>
            </w:r>
          </w:p>
          <w:p w14:paraId="374F8BA4">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需铺设桥架。</w:t>
            </w:r>
          </w:p>
          <w:p w14:paraId="300429BC">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搬迁后冷却水、压缩空气供应情况和路径有变化，可能会有接口变化、管路新增或剩余。</w:t>
            </w:r>
          </w:p>
          <w:p w14:paraId="1A9DAFEE">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地面情况有变化，原有硬性钢管连接可能拆装损坏。</w:t>
            </w:r>
          </w:p>
          <w:p w14:paraId="68A48F0B">
            <w:pPr>
              <w:widowControl/>
              <w:numPr>
                <w:ilvl w:val="0"/>
                <w:numId w:val="28"/>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废水排除路径变化，可能会有管道铺设。</w:t>
            </w:r>
          </w:p>
        </w:tc>
        <w:tc>
          <w:tcPr>
            <w:tcW w:w="1220" w:type="pct"/>
            <w:tcBorders>
              <w:top w:val="single" w:color="auto" w:sz="4" w:space="0"/>
              <w:left w:val="single" w:color="auto" w:sz="4" w:space="0"/>
              <w:bottom w:val="single" w:color="auto" w:sz="4" w:space="0"/>
              <w:right w:val="single" w:color="auto" w:sz="4" w:space="0"/>
              <w:tl2br w:val="nil"/>
              <w:tr2bl w:val="nil"/>
            </w:tcBorders>
            <w:vAlign w:val="center"/>
          </w:tcPr>
          <w:p w14:paraId="12AB7843">
            <w:pPr>
              <w:widowControl/>
              <w:jc w:val="left"/>
              <w:rPr>
                <w:rFonts w:ascii="宋体" w:hAnsi="宋体" w:eastAsia="宋体" w:cs="Times New Roman"/>
                <w:szCs w:val="21"/>
              </w:rPr>
            </w:pPr>
            <w:r>
              <w:rPr>
                <w:rFonts w:hint="eastAsia" w:ascii="宋体" w:hAnsi="宋体" w:eastAsia="宋体" w:cs="Times New Roman"/>
                <w:szCs w:val="21"/>
              </w:rPr>
              <w:t>1、检查所有设备能够正常工作；</w:t>
            </w:r>
          </w:p>
          <w:p w14:paraId="509B948F">
            <w:pPr>
              <w:widowControl/>
              <w:jc w:val="left"/>
              <w:rPr>
                <w:rFonts w:ascii="宋体" w:hAnsi="宋体" w:eastAsia="宋体" w:cs="Times New Roman"/>
                <w:szCs w:val="21"/>
              </w:rPr>
            </w:pPr>
            <w:r>
              <w:rPr>
                <w:rFonts w:hint="eastAsia" w:ascii="宋体" w:hAnsi="宋体" w:eastAsia="宋体" w:cs="Times New Roman"/>
                <w:szCs w:val="21"/>
              </w:rPr>
              <w:t>确认各机械件工作状态正常。</w:t>
            </w:r>
          </w:p>
          <w:p w14:paraId="7287391C">
            <w:pPr>
              <w:widowControl/>
              <w:jc w:val="left"/>
              <w:rPr>
                <w:rFonts w:ascii="宋体" w:hAnsi="宋体" w:eastAsia="宋体" w:cs="Times New Roman"/>
                <w:szCs w:val="21"/>
              </w:rPr>
            </w:pPr>
            <w:r>
              <w:rPr>
                <w:rFonts w:hint="eastAsia" w:ascii="宋体" w:hAnsi="宋体" w:eastAsia="宋体" w:cs="Times New Roman"/>
                <w:szCs w:val="21"/>
              </w:rPr>
              <w:t>2、清扫灰尘，更换滤棉</w:t>
            </w:r>
          </w:p>
          <w:p w14:paraId="7DA5EF82">
            <w:pPr>
              <w:widowControl/>
              <w:jc w:val="left"/>
              <w:rPr>
                <w:rFonts w:ascii="宋体" w:hAnsi="宋体" w:eastAsia="宋体" w:cs="Times New Roman"/>
                <w:szCs w:val="21"/>
              </w:rPr>
            </w:pPr>
            <w:r>
              <w:rPr>
                <w:rFonts w:hint="eastAsia" w:ascii="宋体" w:hAnsi="宋体" w:eastAsia="宋体" w:cs="Times New Roman"/>
                <w:szCs w:val="21"/>
              </w:rPr>
              <w:t>3、检查所有电磁阀及手阀能正常工作</w:t>
            </w:r>
          </w:p>
          <w:p w14:paraId="30006CBE">
            <w:pPr>
              <w:widowControl/>
              <w:jc w:val="left"/>
              <w:rPr>
                <w:rFonts w:ascii="宋体" w:hAnsi="宋体" w:eastAsia="宋体" w:cs="Times New Roman"/>
                <w:szCs w:val="21"/>
              </w:rPr>
            </w:pPr>
            <w:r>
              <w:rPr>
                <w:rFonts w:hint="eastAsia" w:ascii="宋体" w:hAnsi="宋体" w:eastAsia="宋体" w:cs="Times New Roman"/>
                <w:szCs w:val="21"/>
              </w:rPr>
              <w:t>4、检查确认管路及阀门无漏水、漏气问题</w:t>
            </w:r>
          </w:p>
          <w:p w14:paraId="00B1B89B">
            <w:pPr>
              <w:widowControl/>
              <w:jc w:val="left"/>
              <w:rPr>
                <w:rFonts w:ascii="宋体" w:hAnsi="宋体" w:eastAsia="宋体" w:cs="Times New Roman"/>
                <w:szCs w:val="21"/>
              </w:rPr>
            </w:pPr>
            <w:r>
              <w:rPr>
                <w:rFonts w:hint="eastAsia" w:ascii="宋体" w:hAnsi="宋体" w:eastAsia="宋体" w:cs="Times New Roman"/>
                <w:szCs w:val="21"/>
              </w:rPr>
              <w:t>5、检查确认各部分的破损、老化程度，维修或更换受损部分</w:t>
            </w:r>
          </w:p>
          <w:p w14:paraId="781A4992">
            <w:pPr>
              <w:widowControl/>
              <w:jc w:val="left"/>
              <w:rPr>
                <w:rFonts w:ascii="宋体" w:hAnsi="宋体" w:eastAsia="宋体" w:cs="Times New Roman"/>
                <w:szCs w:val="21"/>
              </w:rPr>
            </w:pPr>
            <w:r>
              <w:rPr>
                <w:rFonts w:hint="eastAsia" w:ascii="宋体" w:hAnsi="宋体" w:eastAsia="宋体" w:cs="Times New Roman"/>
                <w:szCs w:val="21"/>
              </w:rPr>
              <w:t>6、检查所有电气连接，确认紧固无松动</w:t>
            </w:r>
          </w:p>
          <w:p w14:paraId="46E9C0DB">
            <w:pPr>
              <w:widowControl/>
              <w:jc w:val="left"/>
              <w:rPr>
                <w:rFonts w:ascii="宋体" w:hAnsi="宋体" w:eastAsia="宋体" w:cs="Times New Roman"/>
                <w:szCs w:val="21"/>
              </w:rPr>
            </w:pPr>
            <w:r>
              <w:rPr>
                <w:rFonts w:hint="eastAsia" w:ascii="宋体" w:hAnsi="宋体" w:eastAsia="宋体" w:cs="Times New Roman"/>
                <w:szCs w:val="21"/>
              </w:rPr>
              <w:t>7、检查确认各传感器及精密零部件可精准工作并对异常情况进行处理</w:t>
            </w:r>
          </w:p>
          <w:p w14:paraId="3C94C831">
            <w:pPr>
              <w:widowControl/>
              <w:jc w:val="left"/>
              <w:rPr>
                <w:rFonts w:ascii="宋体" w:hAnsi="宋体" w:eastAsia="宋体" w:cs="Times New Roman"/>
                <w:szCs w:val="21"/>
              </w:rPr>
            </w:pPr>
          </w:p>
        </w:tc>
        <w:tc>
          <w:tcPr>
            <w:tcW w:w="934" w:type="pct"/>
            <w:tcBorders>
              <w:top w:val="single" w:color="auto" w:sz="4" w:space="0"/>
              <w:left w:val="single" w:color="auto" w:sz="4" w:space="0"/>
              <w:bottom w:val="single" w:color="auto" w:sz="4" w:space="0"/>
              <w:right w:val="single" w:color="auto" w:sz="4" w:space="0"/>
              <w:tl2br w:val="nil"/>
              <w:tr2bl w:val="nil"/>
            </w:tcBorders>
            <w:vAlign w:val="center"/>
          </w:tcPr>
          <w:p w14:paraId="0792C590">
            <w:pPr>
              <w:widowControl/>
              <w:jc w:val="left"/>
              <w:rPr>
                <w:rFonts w:ascii="宋体" w:hAnsi="宋体" w:eastAsia="宋体" w:cs="Times New Roman"/>
                <w:szCs w:val="21"/>
              </w:rPr>
            </w:pPr>
            <w:r>
              <w:rPr>
                <w:rFonts w:hint="eastAsia" w:ascii="宋体" w:hAnsi="宋体" w:eastAsia="宋体" w:cs="Times New Roman"/>
                <w:szCs w:val="21"/>
              </w:rPr>
              <w:t>1、确认上位机能正常接收到温度、压力、振幅、频率等信息且示数正常、稳定可控</w:t>
            </w:r>
          </w:p>
          <w:p w14:paraId="67DF6473">
            <w:pPr>
              <w:widowControl/>
              <w:jc w:val="left"/>
              <w:rPr>
                <w:rFonts w:ascii="宋体" w:hAnsi="宋体" w:eastAsia="宋体" w:cs="Times New Roman"/>
                <w:szCs w:val="21"/>
              </w:rPr>
            </w:pPr>
            <w:r>
              <w:rPr>
                <w:rFonts w:hint="eastAsia" w:ascii="宋体" w:hAnsi="宋体" w:eastAsia="宋体" w:cs="Times New Roman"/>
                <w:szCs w:val="21"/>
              </w:rPr>
              <w:t>2、确认上位机与负载通讯正常，与被试件通讯正常</w:t>
            </w:r>
          </w:p>
          <w:p w14:paraId="4550E5D3">
            <w:pPr>
              <w:widowControl/>
              <w:jc w:val="left"/>
              <w:rPr>
                <w:rFonts w:ascii="宋体" w:hAnsi="宋体" w:eastAsia="宋体" w:cs="Times New Roman"/>
                <w:szCs w:val="21"/>
              </w:rPr>
            </w:pPr>
            <w:r>
              <w:rPr>
                <w:rFonts w:hint="eastAsia" w:ascii="宋体" w:hAnsi="宋体" w:eastAsia="宋体" w:cs="Times New Roman"/>
                <w:szCs w:val="21"/>
              </w:rPr>
              <w:t>3、检查各部分的报警报错情况并处理</w:t>
            </w:r>
          </w:p>
        </w:tc>
        <w:tc>
          <w:tcPr>
            <w:tcW w:w="376" w:type="pct"/>
            <w:tcBorders>
              <w:top w:val="single" w:color="auto" w:sz="4" w:space="0"/>
              <w:left w:val="single" w:color="auto" w:sz="4" w:space="0"/>
              <w:bottom w:val="single" w:color="auto" w:sz="4" w:space="0"/>
              <w:right w:val="single" w:color="auto" w:sz="4" w:space="0"/>
              <w:tl2br w:val="nil"/>
              <w:tr2bl w:val="nil"/>
            </w:tcBorders>
            <w:vAlign w:val="center"/>
          </w:tcPr>
          <w:p w14:paraId="4DB039D9">
            <w:pPr>
              <w:widowControl/>
              <w:jc w:val="left"/>
              <w:rPr>
                <w:rFonts w:ascii="宋体" w:hAnsi="宋体" w:eastAsia="宋体" w:cs="Times New Roman"/>
                <w:szCs w:val="21"/>
              </w:rPr>
            </w:pPr>
            <w:r>
              <w:rPr>
                <w:rFonts w:hint="eastAsia" w:ascii="宋体" w:hAnsi="宋体" w:eastAsia="宋体" w:cs="Times New Roman"/>
                <w:szCs w:val="21"/>
              </w:rPr>
              <w:t>否</w:t>
            </w:r>
          </w:p>
        </w:tc>
        <w:tc>
          <w:tcPr>
            <w:tcW w:w="285" w:type="pct"/>
            <w:tcBorders>
              <w:top w:val="single" w:color="auto" w:sz="4" w:space="0"/>
              <w:left w:val="single" w:color="auto" w:sz="4" w:space="0"/>
              <w:bottom w:val="single" w:color="auto" w:sz="4" w:space="0"/>
              <w:right w:val="single" w:color="auto" w:sz="4" w:space="0"/>
              <w:tl2br w:val="nil"/>
              <w:tr2bl w:val="nil"/>
            </w:tcBorders>
            <w:vAlign w:val="center"/>
          </w:tcPr>
          <w:p w14:paraId="607C38EB">
            <w:pPr>
              <w:widowControl/>
              <w:jc w:val="left"/>
              <w:rPr>
                <w:rFonts w:ascii="宋体" w:hAnsi="宋体" w:eastAsia="宋体" w:cs="Times New Roman"/>
                <w:szCs w:val="21"/>
              </w:rPr>
            </w:pPr>
            <w:r>
              <w:rPr>
                <w:rFonts w:hint="eastAsia" w:ascii="宋体" w:hAnsi="宋体" w:eastAsia="宋体" w:cs="Times New Roman"/>
                <w:szCs w:val="21"/>
              </w:rPr>
              <w:t>　</w:t>
            </w:r>
          </w:p>
        </w:tc>
      </w:tr>
      <w:tr w14:paraId="2B371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8" w:hRule="atLeast"/>
        </w:trPr>
        <w:tc>
          <w:tcPr>
            <w:tcW w:w="225" w:type="pct"/>
            <w:tcBorders>
              <w:top w:val="single" w:color="auto" w:sz="4" w:space="0"/>
              <w:left w:val="single" w:color="auto" w:sz="4" w:space="0"/>
              <w:bottom w:val="single" w:color="auto" w:sz="4" w:space="0"/>
              <w:right w:val="single" w:color="auto" w:sz="4" w:space="0"/>
              <w:tl2br w:val="nil"/>
              <w:tr2bl w:val="nil"/>
            </w:tcBorders>
            <w:vAlign w:val="center"/>
          </w:tcPr>
          <w:p w14:paraId="071C3A32">
            <w:pPr>
              <w:widowControl/>
              <w:jc w:val="left"/>
              <w:rPr>
                <w:rFonts w:ascii="宋体" w:hAnsi="宋体" w:eastAsia="宋体" w:cs="Times New Roman"/>
                <w:szCs w:val="21"/>
              </w:rPr>
            </w:pPr>
            <w:r>
              <w:rPr>
                <w:rFonts w:hint="eastAsia" w:ascii="宋体" w:hAnsi="宋体" w:eastAsia="宋体" w:cs="Times New Roman"/>
                <w:szCs w:val="21"/>
              </w:rPr>
              <w:t>2</w:t>
            </w:r>
          </w:p>
        </w:tc>
        <w:tc>
          <w:tcPr>
            <w:tcW w:w="391" w:type="pct"/>
            <w:tcBorders>
              <w:top w:val="single" w:color="auto" w:sz="4" w:space="0"/>
              <w:left w:val="single" w:color="auto" w:sz="4" w:space="0"/>
              <w:bottom w:val="single" w:color="auto" w:sz="4" w:space="0"/>
              <w:right w:val="single" w:color="auto" w:sz="4" w:space="0"/>
              <w:tl2br w:val="nil"/>
              <w:tr2bl w:val="nil"/>
            </w:tcBorders>
            <w:vAlign w:val="center"/>
          </w:tcPr>
          <w:p w14:paraId="55F2EE22">
            <w:pPr>
              <w:widowControl/>
              <w:jc w:val="left"/>
              <w:rPr>
                <w:rFonts w:ascii="宋体" w:hAnsi="宋体" w:eastAsia="宋体" w:cs="Times New Roman"/>
                <w:szCs w:val="21"/>
              </w:rPr>
            </w:pPr>
            <w:r>
              <w:rPr>
                <w:rFonts w:hint="eastAsia" w:ascii="宋体" w:hAnsi="宋体" w:eastAsia="宋体" w:cs="Times New Roman"/>
                <w:szCs w:val="21"/>
              </w:rPr>
              <w:t>座椅头枕强度试验台</w:t>
            </w:r>
          </w:p>
        </w:tc>
        <w:tc>
          <w:tcPr>
            <w:tcW w:w="297" w:type="pct"/>
            <w:tcBorders>
              <w:top w:val="single" w:color="auto" w:sz="4" w:space="0"/>
              <w:left w:val="single" w:color="auto" w:sz="4" w:space="0"/>
              <w:bottom w:val="single" w:color="auto" w:sz="4" w:space="0"/>
              <w:right w:val="single" w:color="auto" w:sz="4" w:space="0"/>
              <w:tl2br w:val="nil"/>
              <w:tr2bl w:val="nil"/>
            </w:tcBorders>
            <w:vAlign w:val="center"/>
          </w:tcPr>
          <w:p w14:paraId="3B730B72">
            <w:pPr>
              <w:widowControl/>
              <w:jc w:val="left"/>
              <w:rPr>
                <w:rFonts w:ascii="宋体" w:hAnsi="宋体" w:eastAsia="宋体" w:cs="Times New Roman"/>
                <w:szCs w:val="21"/>
              </w:rPr>
            </w:pPr>
            <w:r>
              <w:rPr>
                <w:rFonts w:hint="eastAsia" w:ascii="宋体" w:hAnsi="宋体" w:eastAsia="宋体" w:cs="Times New Roman"/>
                <w:szCs w:val="21"/>
              </w:rPr>
              <w:t>是</w:t>
            </w:r>
          </w:p>
        </w:tc>
        <w:tc>
          <w:tcPr>
            <w:tcW w:w="1268" w:type="pct"/>
            <w:tcBorders>
              <w:top w:val="single" w:color="auto" w:sz="4" w:space="0"/>
              <w:left w:val="single" w:color="auto" w:sz="4" w:space="0"/>
              <w:bottom w:val="single" w:color="auto" w:sz="4" w:space="0"/>
              <w:right w:val="single" w:color="auto" w:sz="4" w:space="0"/>
              <w:tl2br w:val="nil"/>
              <w:tr2bl w:val="nil"/>
            </w:tcBorders>
            <w:vAlign w:val="center"/>
          </w:tcPr>
          <w:p w14:paraId="27B52958">
            <w:pPr>
              <w:widowControl/>
              <w:numPr>
                <w:ilvl w:val="0"/>
                <w:numId w:val="29"/>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因线缆路径变化，可能会有高低压线缆的新增或剩余。</w:t>
            </w:r>
          </w:p>
          <w:p w14:paraId="65541A82">
            <w:pPr>
              <w:widowControl/>
              <w:numPr>
                <w:ilvl w:val="0"/>
                <w:numId w:val="29"/>
              </w:numPr>
              <w:spacing w:line="360" w:lineRule="auto"/>
              <w:ind w:firstLine="382" w:firstLineChars="200"/>
              <w:jc w:val="left"/>
              <w:rPr>
                <w:rFonts w:ascii="宋体" w:hAnsi="宋体" w:eastAsia="宋体" w:cs="Times New Roman"/>
                <w:szCs w:val="21"/>
                <w:highlight w:val="red"/>
              </w:rPr>
            </w:pPr>
            <w:r>
              <w:rPr>
                <w:rFonts w:hint="eastAsia" w:ascii="宋体" w:hAnsi="宋体" w:eastAsia="宋体" w:cs="Times New Roman"/>
                <w:szCs w:val="21"/>
              </w:rPr>
              <w:t>需铺设桥架。</w:t>
            </w:r>
          </w:p>
        </w:tc>
        <w:tc>
          <w:tcPr>
            <w:tcW w:w="1220" w:type="pct"/>
            <w:tcBorders>
              <w:top w:val="single" w:color="auto" w:sz="4" w:space="0"/>
              <w:left w:val="single" w:color="auto" w:sz="4" w:space="0"/>
              <w:bottom w:val="single" w:color="auto" w:sz="4" w:space="0"/>
              <w:right w:val="single" w:color="auto" w:sz="4" w:space="0"/>
              <w:tl2br w:val="nil"/>
              <w:tr2bl w:val="nil"/>
            </w:tcBorders>
            <w:vAlign w:val="center"/>
          </w:tcPr>
          <w:p w14:paraId="47628FA5">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搬迁新址后试验台铁地板放置在试验室地面上，并对铁地板进行调平、除锈和涂防锈油。</w:t>
            </w:r>
          </w:p>
          <w:p w14:paraId="3BB00D10">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设备搬迁到新址后如原设备动力电线、信号线和气管等因长度、接口尺寸和老化等原因无法再用，投标方需按照招标方要求对其进行换新或延长。</w:t>
            </w:r>
          </w:p>
          <w:p w14:paraId="5D5330DD">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高低压线束连接需紧固可靠，信号及动力传输稳定。各线路、气路需根据招标方要求采用桥架和波纹管保护。各线路若有接线端子或线路老化的情况需更换。</w:t>
            </w:r>
          </w:p>
          <w:p w14:paraId="4F9067C7">
            <w:pPr>
              <w:widowControl/>
              <w:numPr>
                <w:ilvl w:val="0"/>
                <w:numId w:val="30"/>
              </w:numPr>
              <w:spacing w:line="360" w:lineRule="auto"/>
              <w:ind w:firstLine="382" w:firstLineChars="200"/>
              <w:jc w:val="left"/>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各传感器和通讯线路需做好屏蔽工作，以防受到干扰导致数据不准。</w:t>
            </w:r>
          </w:p>
          <w:p w14:paraId="2F2CEAEB">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试验台安装调试完成后应先对试验台整体进行清灰、防锈处理，对相关部件涂抹润滑脂。</w:t>
            </w:r>
          </w:p>
          <w:p w14:paraId="2E69748F">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试验台精心安装调试完成后对试验台压力、位移等所有必要参数进行计量标定。</w:t>
            </w:r>
          </w:p>
          <w:p w14:paraId="3B0780F3">
            <w:pPr>
              <w:widowControl/>
              <w:numPr>
                <w:ilvl w:val="0"/>
                <w:numId w:val="30"/>
              </w:numPr>
              <w:spacing w:line="360" w:lineRule="auto"/>
              <w:ind w:firstLine="382" w:firstLineChars="200"/>
              <w:jc w:val="left"/>
              <w:rPr>
                <w:rFonts w:ascii="宋体" w:hAnsi="宋体" w:eastAsia="宋体" w:cs="Times New Roman"/>
                <w:szCs w:val="21"/>
              </w:rPr>
            </w:pPr>
            <w:r>
              <w:rPr>
                <w:rFonts w:hint="eastAsia" w:ascii="宋体" w:hAnsi="宋体" w:eastAsia="宋体" w:cs="宋体"/>
                <w:kern w:val="0"/>
                <w:szCs w:val="21"/>
                <w:lang w:bidi="ar"/>
              </w:rPr>
              <w:t>试验台计量完成后运行1月应无异响、漏油、漏水等现象。运动的零部件动作平稳、灵活、准确，无卡、塞、振、抖等现象。试验台数据和功能应均无异常。</w:t>
            </w:r>
          </w:p>
          <w:p w14:paraId="220370A7">
            <w:pPr>
              <w:widowControl/>
              <w:numPr>
                <w:ilvl w:val="0"/>
                <w:numId w:val="30"/>
              </w:numPr>
              <w:spacing w:line="360" w:lineRule="auto"/>
              <w:ind w:firstLine="382" w:firstLineChars="200"/>
              <w:jc w:val="left"/>
              <w:rPr>
                <w:rFonts w:ascii="宋体" w:hAnsi="宋体" w:eastAsia="宋体" w:cs="Times New Roman"/>
                <w:color w:val="000000" w:themeColor="text1"/>
                <w:szCs w:val="21"/>
                <w:highlight w:val="red"/>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备运行状态及精度不低于搬迁前设备运行状态及精度，所有设备功能满足招标方正常试验检测需求。</w:t>
            </w:r>
          </w:p>
        </w:tc>
        <w:tc>
          <w:tcPr>
            <w:tcW w:w="934" w:type="pct"/>
            <w:tcBorders>
              <w:top w:val="single" w:color="auto" w:sz="4" w:space="0"/>
              <w:left w:val="single" w:color="auto" w:sz="4" w:space="0"/>
              <w:bottom w:val="single" w:color="auto" w:sz="4" w:space="0"/>
              <w:right w:val="single" w:color="auto" w:sz="4" w:space="0"/>
              <w:tl2br w:val="nil"/>
              <w:tr2bl w:val="nil"/>
            </w:tcBorders>
            <w:vAlign w:val="center"/>
          </w:tcPr>
          <w:p w14:paraId="341A19D9">
            <w:pPr>
              <w:widowControl/>
              <w:jc w:val="left"/>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1、确认上位机能正常接收到力、位移等信息且示数正常、稳定可控</w:t>
            </w:r>
          </w:p>
          <w:p w14:paraId="6F91E636">
            <w:pPr>
              <w:widowControl/>
              <w:jc w:val="left"/>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2、确认上位机与负载通讯正常，与各传感器通讯正常</w:t>
            </w:r>
          </w:p>
          <w:p w14:paraId="695090BA">
            <w:pPr>
              <w:widowControl/>
              <w:jc w:val="left"/>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3、检查各部分的报警报错情况并处理。</w:t>
            </w:r>
          </w:p>
          <w:p w14:paraId="7411291D">
            <w:pPr>
              <w:widowControl/>
              <w:jc w:val="left"/>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4、软件更新为最新版本。</w:t>
            </w:r>
          </w:p>
        </w:tc>
        <w:tc>
          <w:tcPr>
            <w:tcW w:w="376" w:type="pct"/>
            <w:tcBorders>
              <w:top w:val="single" w:color="auto" w:sz="4" w:space="0"/>
              <w:left w:val="single" w:color="auto" w:sz="4" w:space="0"/>
              <w:bottom w:val="single" w:color="auto" w:sz="4" w:space="0"/>
              <w:right w:val="single" w:color="auto" w:sz="4" w:space="0"/>
              <w:tl2br w:val="nil"/>
              <w:tr2bl w:val="nil"/>
            </w:tcBorders>
            <w:vAlign w:val="center"/>
          </w:tcPr>
          <w:p w14:paraId="566FAE37">
            <w:pPr>
              <w:widowControl/>
              <w:jc w:val="left"/>
              <w:rPr>
                <w:rFonts w:ascii="宋体" w:hAnsi="宋体" w:eastAsia="宋体" w:cs="Times New Roman"/>
                <w:szCs w:val="21"/>
              </w:rPr>
            </w:pPr>
            <w:r>
              <w:rPr>
                <w:rFonts w:hint="eastAsia" w:ascii="宋体" w:hAnsi="宋体" w:eastAsia="宋体" w:cs="Times New Roman"/>
                <w:szCs w:val="21"/>
              </w:rPr>
              <w:t>是</w:t>
            </w:r>
          </w:p>
          <w:p w14:paraId="69D2EAA1">
            <w:pPr>
              <w:widowControl/>
              <w:jc w:val="left"/>
              <w:rPr>
                <w:rFonts w:ascii="宋体" w:hAnsi="宋体" w:eastAsia="宋体" w:cs="Times New Roman"/>
                <w:szCs w:val="21"/>
              </w:rPr>
            </w:pPr>
            <w:r>
              <w:rPr>
                <w:rFonts w:hint="eastAsia" w:ascii="宋体" w:hAnsi="宋体" w:eastAsia="宋体" w:cs="Times New Roman"/>
                <w:szCs w:val="21"/>
              </w:rPr>
              <w:t>试验台操作、维护和计量方法培训。</w:t>
            </w:r>
          </w:p>
        </w:tc>
        <w:tc>
          <w:tcPr>
            <w:tcW w:w="285" w:type="pct"/>
            <w:tcBorders>
              <w:top w:val="single" w:color="auto" w:sz="4" w:space="0"/>
              <w:left w:val="single" w:color="auto" w:sz="4" w:space="0"/>
              <w:bottom w:val="single" w:color="auto" w:sz="4" w:space="0"/>
              <w:right w:val="single" w:color="auto" w:sz="4" w:space="0"/>
              <w:tl2br w:val="nil"/>
              <w:tr2bl w:val="nil"/>
            </w:tcBorders>
            <w:vAlign w:val="center"/>
          </w:tcPr>
          <w:p w14:paraId="40DAA7B5">
            <w:pPr>
              <w:widowControl/>
              <w:jc w:val="left"/>
              <w:rPr>
                <w:rFonts w:ascii="宋体" w:hAnsi="宋体" w:eastAsia="宋体" w:cs="Times New Roman"/>
                <w:szCs w:val="21"/>
              </w:rPr>
            </w:pPr>
          </w:p>
        </w:tc>
      </w:tr>
      <w:tr w14:paraId="78508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5" w:type="pct"/>
            <w:tcBorders>
              <w:top w:val="single" w:color="auto" w:sz="4" w:space="0"/>
              <w:left w:val="single" w:color="auto" w:sz="4" w:space="0"/>
              <w:bottom w:val="single" w:color="auto" w:sz="4" w:space="0"/>
              <w:right w:val="single" w:color="auto" w:sz="4" w:space="0"/>
              <w:tl2br w:val="nil"/>
              <w:tr2bl w:val="nil"/>
            </w:tcBorders>
            <w:vAlign w:val="center"/>
          </w:tcPr>
          <w:p w14:paraId="0DC8AD53">
            <w:pPr>
              <w:widowControl/>
              <w:jc w:val="left"/>
              <w:rPr>
                <w:rFonts w:ascii="宋体" w:hAnsi="宋体" w:eastAsia="宋体" w:cs="Times New Roman"/>
                <w:szCs w:val="21"/>
              </w:rPr>
            </w:pPr>
            <w:r>
              <w:rPr>
                <w:rFonts w:hint="eastAsia" w:ascii="宋体" w:hAnsi="宋体" w:eastAsia="宋体" w:cs="Times New Roman"/>
                <w:szCs w:val="21"/>
              </w:rPr>
              <w:t>3</w:t>
            </w:r>
          </w:p>
        </w:tc>
        <w:tc>
          <w:tcPr>
            <w:tcW w:w="391" w:type="pct"/>
            <w:tcBorders>
              <w:top w:val="single" w:color="auto" w:sz="4" w:space="0"/>
              <w:left w:val="single" w:color="auto" w:sz="4" w:space="0"/>
              <w:bottom w:val="single" w:color="auto" w:sz="4" w:space="0"/>
              <w:right w:val="single" w:color="auto" w:sz="4" w:space="0"/>
              <w:tl2br w:val="nil"/>
              <w:tr2bl w:val="nil"/>
            </w:tcBorders>
            <w:vAlign w:val="center"/>
          </w:tcPr>
          <w:p w14:paraId="60EF92EF">
            <w:pPr>
              <w:widowControl/>
              <w:jc w:val="left"/>
              <w:rPr>
                <w:rFonts w:ascii="宋体" w:hAnsi="宋体" w:eastAsia="宋体" w:cs="Times New Roman"/>
                <w:szCs w:val="21"/>
              </w:rPr>
            </w:pPr>
            <w:r>
              <w:rPr>
                <w:rFonts w:hint="eastAsia" w:ascii="宋体" w:hAnsi="宋体" w:eastAsia="宋体" w:cs="Times New Roman"/>
                <w:szCs w:val="21"/>
              </w:rPr>
              <w:t>多楔带疲劳试验台</w:t>
            </w:r>
          </w:p>
        </w:tc>
        <w:tc>
          <w:tcPr>
            <w:tcW w:w="297" w:type="pct"/>
            <w:tcBorders>
              <w:top w:val="single" w:color="auto" w:sz="4" w:space="0"/>
              <w:left w:val="single" w:color="auto" w:sz="4" w:space="0"/>
              <w:bottom w:val="single" w:color="auto" w:sz="4" w:space="0"/>
              <w:right w:val="single" w:color="auto" w:sz="4" w:space="0"/>
              <w:tl2br w:val="nil"/>
              <w:tr2bl w:val="nil"/>
            </w:tcBorders>
            <w:vAlign w:val="center"/>
          </w:tcPr>
          <w:p w14:paraId="74C7E6AC">
            <w:pPr>
              <w:widowControl/>
              <w:jc w:val="left"/>
              <w:rPr>
                <w:rFonts w:ascii="宋体" w:hAnsi="宋体" w:eastAsia="宋体" w:cs="Times New Roman"/>
                <w:szCs w:val="21"/>
              </w:rPr>
            </w:pPr>
            <w:r>
              <w:rPr>
                <w:rFonts w:hint="eastAsia" w:ascii="宋体" w:hAnsi="宋体" w:eastAsia="宋体" w:cs="Times New Roman"/>
                <w:szCs w:val="21"/>
              </w:rPr>
              <w:t>是</w:t>
            </w:r>
          </w:p>
        </w:tc>
        <w:tc>
          <w:tcPr>
            <w:tcW w:w="1268" w:type="pct"/>
            <w:tcBorders>
              <w:top w:val="single" w:color="auto" w:sz="4" w:space="0"/>
              <w:left w:val="single" w:color="auto" w:sz="4" w:space="0"/>
              <w:bottom w:val="single" w:color="auto" w:sz="4" w:space="0"/>
              <w:right w:val="single" w:color="auto" w:sz="4" w:space="0"/>
              <w:tl2br w:val="nil"/>
              <w:tr2bl w:val="nil"/>
            </w:tcBorders>
            <w:vAlign w:val="center"/>
          </w:tcPr>
          <w:p w14:paraId="0FF3474B">
            <w:pPr>
              <w:widowControl/>
              <w:numPr>
                <w:ilvl w:val="0"/>
                <w:numId w:val="31"/>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因线缆路径变化，可能会有高低压线缆的新增或剩余。</w:t>
            </w:r>
          </w:p>
          <w:p w14:paraId="6ED0EB99">
            <w:pPr>
              <w:widowControl/>
              <w:numPr>
                <w:ilvl w:val="0"/>
                <w:numId w:val="31"/>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可能会需铺设桥架。</w:t>
            </w:r>
          </w:p>
        </w:tc>
        <w:tc>
          <w:tcPr>
            <w:tcW w:w="1220" w:type="pct"/>
            <w:tcBorders>
              <w:top w:val="single" w:color="auto" w:sz="4" w:space="0"/>
              <w:left w:val="single" w:color="auto" w:sz="4" w:space="0"/>
              <w:bottom w:val="single" w:color="auto" w:sz="4" w:space="0"/>
              <w:right w:val="single" w:color="auto" w:sz="4" w:space="0"/>
              <w:tl2br w:val="nil"/>
              <w:tr2bl w:val="nil"/>
            </w:tcBorders>
            <w:vAlign w:val="center"/>
          </w:tcPr>
          <w:p w14:paraId="492B065C">
            <w:pPr>
              <w:widowControl/>
              <w:numPr>
                <w:ilvl w:val="0"/>
                <w:numId w:val="32"/>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确认各机械件工作状态正常</w:t>
            </w:r>
          </w:p>
          <w:p w14:paraId="55EE6F78">
            <w:pPr>
              <w:widowControl/>
              <w:numPr>
                <w:ilvl w:val="0"/>
                <w:numId w:val="32"/>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检查所有继电器等电器件能正常工作</w:t>
            </w:r>
          </w:p>
          <w:p w14:paraId="1117D860">
            <w:pPr>
              <w:widowControl/>
              <w:numPr>
                <w:ilvl w:val="0"/>
                <w:numId w:val="32"/>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检查确认各部分的破损、老化程度，维修或更换受损部分</w:t>
            </w:r>
          </w:p>
          <w:p w14:paraId="525FE88B">
            <w:pPr>
              <w:widowControl/>
              <w:numPr>
                <w:ilvl w:val="0"/>
                <w:numId w:val="32"/>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检查所有电气连接，确认紧固无松动</w:t>
            </w:r>
          </w:p>
          <w:p w14:paraId="20E73DD4">
            <w:pPr>
              <w:widowControl/>
              <w:numPr>
                <w:ilvl w:val="0"/>
                <w:numId w:val="32"/>
              </w:numPr>
              <w:spacing w:line="360" w:lineRule="auto"/>
              <w:ind w:firstLine="382" w:firstLineChars="200"/>
              <w:jc w:val="left"/>
              <w:rPr>
                <w:rFonts w:ascii="宋体" w:hAnsi="宋体" w:eastAsia="宋体" w:cs="Times New Roman"/>
                <w:szCs w:val="21"/>
              </w:rPr>
            </w:pPr>
            <w:r>
              <w:rPr>
                <w:rFonts w:hint="eastAsia" w:ascii="宋体" w:hAnsi="宋体" w:eastAsia="宋体" w:cs="Times New Roman"/>
                <w:szCs w:val="21"/>
              </w:rPr>
              <w:t>检查确认各传感器及精密零部件可正常工作并对异常情况进行处理</w:t>
            </w:r>
          </w:p>
        </w:tc>
        <w:tc>
          <w:tcPr>
            <w:tcW w:w="934" w:type="pct"/>
            <w:tcBorders>
              <w:top w:val="single" w:color="auto" w:sz="4" w:space="0"/>
              <w:left w:val="single" w:color="auto" w:sz="4" w:space="0"/>
              <w:bottom w:val="single" w:color="auto" w:sz="4" w:space="0"/>
              <w:right w:val="single" w:color="auto" w:sz="4" w:space="0"/>
              <w:tl2br w:val="nil"/>
              <w:tr2bl w:val="nil"/>
            </w:tcBorders>
            <w:vAlign w:val="center"/>
          </w:tcPr>
          <w:p w14:paraId="544ABE26">
            <w:pPr>
              <w:widowControl/>
              <w:jc w:val="left"/>
              <w:rPr>
                <w:rFonts w:ascii="宋体" w:hAnsi="宋体" w:eastAsia="宋体" w:cs="Times New Roman"/>
                <w:szCs w:val="21"/>
              </w:rPr>
            </w:pPr>
            <w:r>
              <w:rPr>
                <w:rFonts w:hint="eastAsia" w:ascii="宋体" w:hAnsi="宋体" w:eastAsia="宋体" w:cs="Times New Roman"/>
                <w:szCs w:val="21"/>
              </w:rPr>
              <w:t>1、确认上位机能正常接收到温度、转速等信息且示数正常、稳定可控</w:t>
            </w:r>
          </w:p>
          <w:p w14:paraId="56194851">
            <w:pPr>
              <w:widowControl/>
              <w:jc w:val="left"/>
              <w:rPr>
                <w:rFonts w:ascii="宋体" w:hAnsi="宋体" w:eastAsia="宋体" w:cs="Times New Roman"/>
                <w:szCs w:val="21"/>
              </w:rPr>
            </w:pPr>
            <w:r>
              <w:rPr>
                <w:rFonts w:hint="eastAsia" w:ascii="宋体" w:hAnsi="宋体" w:eastAsia="宋体" w:cs="Times New Roman"/>
                <w:szCs w:val="21"/>
              </w:rPr>
              <w:t>2、确认上位机与负载通讯正常，与各传感器通讯正常</w:t>
            </w:r>
          </w:p>
          <w:p w14:paraId="52F618BE">
            <w:pPr>
              <w:widowControl/>
              <w:jc w:val="left"/>
              <w:rPr>
                <w:rFonts w:ascii="宋体" w:hAnsi="宋体" w:eastAsia="宋体" w:cs="Times New Roman"/>
                <w:szCs w:val="21"/>
              </w:rPr>
            </w:pPr>
            <w:r>
              <w:rPr>
                <w:rFonts w:hint="eastAsia" w:ascii="宋体" w:hAnsi="宋体" w:eastAsia="宋体" w:cs="Times New Roman"/>
                <w:szCs w:val="21"/>
              </w:rPr>
              <w:t>3、检查各部分的报警报错情况并处理</w:t>
            </w:r>
          </w:p>
        </w:tc>
        <w:tc>
          <w:tcPr>
            <w:tcW w:w="376" w:type="pct"/>
            <w:tcBorders>
              <w:top w:val="single" w:color="auto" w:sz="4" w:space="0"/>
              <w:left w:val="single" w:color="auto" w:sz="4" w:space="0"/>
              <w:bottom w:val="single" w:color="auto" w:sz="4" w:space="0"/>
              <w:right w:val="single" w:color="auto" w:sz="4" w:space="0"/>
              <w:tl2br w:val="nil"/>
              <w:tr2bl w:val="nil"/>
            </w:tcBorders>
            <w:vAlign w:val="center"/>
          </w:tcPr>
          <w:p w14:paraId="4A38C255">
            <w:pPr>
              <w:widowControl/>
              <w:jc w:val="left"/>
              <w:rPr>
                <w:rFonts w:ascii="宋体" w:hAnsi="宋体" w:eastAsia="宋体" w:cs="Times New Roman"/>
                <w:szCs w:val="21"/>
              </w:rPr>
            </w:pPr>
            <w:r>
              <w:rPr>
                <w:rFonts w:hint="eastAsia" w:ascii="宋体" w:hAnsi="宋体" w:eastAsia="宋体" w:cs="Times New Roman"/>
                <w:szCs w:val="21"/>
              </w:rPr>
              <w:t>否</w:t>
            </w:r>
          </w:p>
        </w:tc>
        <w:tc>
          <w:tcPr>
            <w:tcW w:w="285" w:type="pct"/>
            <w:tcBorders>
              <w:top w:val="single" w:color="auto" w:sz="4" w:space="0"/>
              <w:left w:val="single" w:color="auto" w:sz="4" w:space="0"/>
              <w:bottom w:val="single" w:color="auto" w:sz="4" w:space="0"/>
              <w:right w:val="single" w:color="auto" w:sz="4" w:space="0"/>
              <w:tl2br w:val="nil"/>
              <w:tr2bl w:val="nil"/>
            </w:tcBorders>
            <w:vAlign w:val="center"/>
          </w:tcPr>
          <w:p w14:paraId="210FCD2C">
            <w:pPr>
              <w:widowControl/>
              <w:jc w:val="left"/>
              <w:rPr>
                <w:rFonts w:ascii="宋体" w:hAnsi="宋体" w:eastAsia="宋体" w:cs="Times New Roman"/>
                <w:szCs w:val="21"/>
              </w:rPr>
            </w:pPr>
            <w:r>
              <w:rPr>
                <w:rFonts w:hint="eastAsia" w:ascii="宋体" w:hAnsi="宋体" w:eastAsia="宋体" w:cs="Times New Roman"/>
                <w:szCs w:val="21"/>
              </w:rPr>
              <w:t>　</w:t>
            </w:r>
          </w:p>
        </w:tc>
      </w:tr>
    </w:tbl>
    <w:p w14:paraId="6C6BECC8">
      <w:pPr>
        <w:widowControl/>
        <w:spacing w:line="360" w:lineRule="auto"/>
        <w:ind w:left="442" w:firstLine="442" w:firstLineChars="200"/>
        <w:jc w:val="left"/>
        <w:rPr>
          <w:rFonts w:ascii="宋体" w:hAnsi="宋体" w:eastAsia="宋体" w:cs="宋体"/>
          <w:kern w:val="0"/>
          <w:sz w:val="24"/>
          <w:szCs w:val="21"/>
        </w:rPr>
      </w:pPr>
      <w:r>
        <w:rPr>
          <w:rFonts w:hint="eastAsia" w:ascii="宋体" w:hAnsi="宋体" w:eastAsia="宋体" w:cs="宋体"/>
          <w:kern w:val="0"/>
          <w:sz w:val="24"/>
          <w:szCs w:val="21"/>
        </w:rPr>
        <w:t>备注：</w:t>
      </w:r>
    </w:p>
    <w:p w14:paraId="2976F0A3">
      <w:pPr>
        <w:widowControl/>
        <w:numPr>
          <w:ilvl w:val="0"/>
          <w:numId w:val="33"/>
        </w:numPr>
        <w:spacing w:line="360" w:lineRule="auto"/>
        <w:ind w:firstLine="382" w:firstLineChars="200"/>
        <w:jc w:val="left"/>
        <w:rPr>
          <w:rFonts w:ascii="Times New Roman" w:hAnsi="Times New Roman" w:eastAsia="宋体" w:cs="Times New Roman"/>
          <w:szCs w:val="21"/>
        </w:rPr>
      </w:pPr>
      <w:r>
        <w:rPr>
          <w:rFonts w:hint="eastAsia" w:ascii="Times New Roman" w:hAnsi="Times New Roman" w:eastAsia="宋体" w:cs="Times New Roman"/>
          <w:szCs w:val="21"/>
        </w:rPr>
        <w:t>本表所列采购货物/服务仅为货物/服务的主要构成部分，应配套供货以及招标方所列其它货物和服务，请投标方认真阅读“供货范围”。若有异议，不管是多么微小，都应在投标文件“商务偏离”章节中予以详细说明。</w:t>
      </w:r>
    </w:p>
    <w:p w14:paraId="07FAC44C">
      <w:pPr>
        <w:widowControl/>
        <w:numPr>
          <w:ilvl w:val="0"/>
          <w:numId w:val="33"/>
        </w:numPr>
        <w:spacing w:line="360" w:lineRule="auto"/>
        <w:ind w:firstLine="382" w:firstLineChars="200"/>
        <w:jc w:val="left"/>
        <w:rPr>
          <w:rFonts w:ascii="Times New Roman" w:hAnsi="Times New Roman" w:eastAsia="宋体" w:cs="Times New Roman"/>
          <w:szCs w:val="21"/>
        </w:rPr>
      </w:pPr>
      <w:r>
        <w:rPr>
          <w:rFonts w:hint="eastAsia" w:ascii="Times New Roman" w:hAnsi="Times New Roman" w:eastAsia="宋体" w:cs="Times New Roman"/>
          <w:szCs w:val="21"/>
        </w:rPr>
        <w:t>水气管路、阀门阀板、电缆线束根据实际情况利旧或新建。</w:t>
      </w:r>
    </w:p>
    <w:p w14:paraId="662B3FB5">
      <w:pPr>
        <w:widowControl/>
        <w:numPr>
          <w:ilvl w:val="0"/>
          <w:numId w:val="33"/>
        </w:numPr>
        <w:spacing w:line="360" w:lineRule="auto"/>
        <w:ind w:firstLine="382" w:firstLineChars="200"/>
        <w:jc w:val="left"/>
        <w:rPr>
          <w:rFonts w:ascii="Times New Roman" w:hAnsi="Times New Roman" w:eastAsia="宋体" w:cs="Times New Roman"/>
          <w:szCs w:val="21"/>
        </w:rPr>
      </w:pPr>
      <w:r>
        <w:rPr>
          <w:rFonts w:hint="eastAsia" w:ascii="Times New Roman" w:hAnsi="Times New Roman" w:eastAsia="宋体" w:cs="Times New Roman"/>
          <w:szCs w:val="21"/>
        </w:rPr>
        <w:t>本表“供货方式”指：交钥匙方式——投标方负责试验台的拆解、打包、装车运输、卸车、搬运到指定位置、更换试验台必要新件、安装等全流程相关工作。</w:t>
      </w:r>
    </w:p>
    <w:p w14:paraId="3358DFEA">
      <w:pPr>
        <w:widowControl/>
        <w:spacing w:line="360" w:lineRule="auto"/>
        <w:ind w:left="442" w:firstLine="442" w:firstLineChars="200"/>
        <w:jc w:val="left"/>
        <w:rPr>
          <w:rFonts w:ascii="宋体" w:hAnsi="宋体" w:eastAsia="宋体" w:cs="宋体"/>
          <w:kern w:val="0"/>
          <w:sz w:val="24"/>
          <w:szCs w:val="21"/>
        </w:rPr>
      </w:pPr>
    </w:p>
    <w:p w14:paraId="7625AA67">
      <w:pPr>
        <w:widowControl/>
        <w:spacing w:line="360" w:lineRule="auto"/>
        <w:ind w:left="442" w:firstLine="442" w:firstLineChars="200"/>
        <w:jc w:val="left"/>
        <w:rPr>
          <w:rFonts w:ascii="宋体" w:hAnsi="宋体" w:eastAsia="宋体" w:cs="宋体"/>
          <w:kern w:val="0"/>
          <w:sz w:val="24"/>
          <w:szCs w:val="21"/>
        </w:rPr>
        <w:sectPr>
          <w:pgSz w:w="16838" w:h="11906" w:orient="landscape"/>
          <w:pgMar w:top="1077" w:right="1440" w:bottom="1077" w:left="1440" w:header="851" w:footer="992" w:gutter="0"/>
          <w:cols w:space="720" w:num="1"/>
          <w:docGrid w:type="linesAndChars" w:linePitch="312" w:charSpace="-3931"/>
        </w:sectPr>
      </w:pPr>
    </w:p>
    <w:p w14:paraId="692C9C7D">
      <w:pPr>
        <w:widowControl/>
        <w:spacing w:line="360" w:lineRule="auto"/>
        <w:ind w:firstLine="480" w:firstLineChars="200"/>
        <w:jc w:val="left"/>
        <w:rPr>
          <w:rFonts w:ascii="宋体" w:hAnsi="宋体" w:eastAsia="宋体" w:cs="宋体"/>
          <w:sz w:val="24"/>
          <w:szCs w:val="24"/>
        </w:rPr>
      </w:pPr>
      <w:bookmarkStart w:id="46" w:name="_Toc142725005"/>
      <w:bookmarkStart w:id="47" w:name="_Toc16155"/>
      <w:bookmarkStart w:id="48" w:name="_Toc460445903"/>
      <w:bookmarkStart w:id="49" w:name="_Toc51682263"/>
      <w:bookmarkStart w:id="50" w:name="_Toc15367969"/>
      <w:bookmarkStart w:id="51" w:name="_Toc49525560"/>
    </w:p>
    <w:p w14:paraId="6D4441F1">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公用接口系统</w:t>
      </w:r>
    </w:p>
    <w:p w14:paraId="26119310">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合理设计、设置供水管路（冷却/冷冻水供水管、回水管）、供气管路、排污管、通风管道、排风管道、电缆孔等接口；</w:t>
      </w:r>
    </w:p>
    <w:p w14:paraId="4BD067FC">
      <w:pPr>
        <w:widowControl/>
        <w:numPr>
          <w:ilvl w:val="0"/>
          <w:numId w:val="3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为便于水、气、油、进排气管路的拆卸，接口在满足安全标准的要求下用标准法兰连接或丝口连接；</w:t>
      </w:r>
    </w:p>
    <w:p w14:paraId="6BE3890A">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为了便于线缆及信号线进出箱体，要在箱体上合理位置预置桥架孔；</w:t>
      </w:r>
    </w:p>
    <w:p w14:paraId="184DA79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各所有管道要考虑接头处的操作空间和便利性，以便于装拆；</w:t>
      </w:r>
    </w:p>
    <w:p w14:paraId="65C5E9DA">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各管路、管件、连接件的选用均要满足安全法规要求，且要做好防锈、防腐、除渣化学处理；</w:t>
      </w:r>
    </w:p>
    <w:p w14:paraId="31FC9B6E">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各类阀门和快插接头均为304不锈钢材质。</w:t>
      </w:r>
    </w:p>
    <w:p w14:paraId="2800F141">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所有管道需规范铺设，水电分离，走向规整。</w:t>
      </w:r>
    </w:p>
    <w:p w14:paraId="52964E50">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所有电路桥架走向按招标方要求，暂定方案为电路桥架由配电箱向上走，然后横向走到设备电柜上方，再向下接入设备电柜。桥架固定吊筋及立柱根据相关标准实施。</w:t>
      </w:r>
    </w:p>
    <w:p w14:paraId="0D7021F4">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气路、水路等共用资源进入设备的方式，暂定方案为从公用接口向下走地面接入设备。线路走向需规整。</w:t>
      </w:r>
    </w:p>
    <w:p w14:paraId="343716C0">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所有水管、气路应走向规整，符合相关安全要求，符合招标方现场要求。</w:t>
      </w:r>
    </w:p>
    <w:p w14:paraId="5F27B5BF">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桥架由投标方负责设计施工。</w:t>
      </w:r>
    </w:p>
    <w:p w14:paraId="4266A5AA">
      <w:pPr>
        <w:keepNext/>
        <w:keepLines/>
        <w:widowControl/>
        <w:numPr>
          <w:ilvl w:val="0"/>
          <w:numId w:val="22"/>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其他要求：</w:t>
      </w:r>
    </w:p>
    <w:p w14:paraId="5483988B">
      <w:pPr>
        <w:widowControl/>
        <w:spacing w:line="360" w:lineRule="auto"/>
        <w:ind w:left="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投标方应了解迁出场所及迁入场所的现场情况；</w:t>
      </w:r>
    </w:p>
    <w:p w14:paraId="5CDB92C6">
      <w:pPr>
        <w:widowControl/>
        <w:numPr>
          <w:ilvl w:val="0"/>
          <w:numId w:val="3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投标方应具备相应的烟气处理改造成功经验；</w:t>
      </w:r>
    </w:p>
    <w:p w14:paraId="50979123">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投标方如能协调数量足够且合适的搬迁工具，搬迁时不能损坏设备；如有损坏，招标方有权要求恢复并索赔。</w:t>
      </w:r>
    </w:p>
    <w:p w14:paraId="6CC205E7">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投标方应能在作业时限内协调足够的人员及特种作业人员完成相应工作；</w:t>
      </w:r>
    </w:p>
    <w:p w14:paraId="0855324E">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投标方每次作业应有现场安全管理和作业协调人员，招标方现场监督。</w:t>
      </w:r>
    </w:p>
    <w:p w14:paraId="63C953ED">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投标方应配备足够的劳保工具及安全用品，在作业过程中应严格按照招标方现场安全要求作业；</w:t>
      </w:r>
    </w:p>
    <w:p w14:paraId="4A07A671">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搬迁作业前，投标方应与招标方沟通，做好搬迁方案和计划。</w:t>
      </w:r>
    </w:p>
    <w:p w14:paraId="3C1FCF3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投标方需负责设备的拆解、打包、装卸、运输、安装、桥架采购及安装等全过程工作；</w:t>
      </w:r>
    </w:p>
    <w:p w14:paraId="75442EC7">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设备拆卸前，投标方应确认影响搬迁的油液排干，排出油液由投标方负责用清洁盛具盛装并做好标识。更换后的废旧耗材等物料由投标方处理。</w:t>
      </w:r>
    </w:p>
    <w:p w14:paraId="3A27338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设备解体前，投标方需对每根管路和线路做好对接标记，并对每个接口做好防尘防水等防护措施。</w:t>
      </w:r>
    </w:p>
    <w:p w14:paraId="0A8E22A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搬迁后，设备油液由投标方负责加入，如有油液损失，投标方依据原品牌型号购买后加至设备标记位置或深度。</w:t>
      </w:r>
    </w:p>
    <w:p w14:paraId="25E60319">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搬迁运输由招标方根据设备情况做好防护和固定，根据设备尺寸和重量选择合适的运输车辆，严禁车辆超载超高超限；</w:t>
      </w:r>
    </w:p>
    <w:p w14:paraId="53990A01">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设备装卸所需要的工具、车辆等全部由投标方负责；</w:t>
      </w:r>
    </w:p>
    <w:p w14:paraId="019FB0F8">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设备搬迁后，设备运行状态及精度正常、且稳定运行后方可验收；</w:t>
      </w:r>
    </w:p>
    <w:p w14:paraId="764A3F7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设备搬迁后，设备落地布局由招标方根据现有布局和迁入地状况现场最终确认；</w:t>
      </w:r>
    </w:p>
    <w:p w14:paraId="634AD8EB">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投标方作业桥架、电线、气路等布置应满足相应安全要求，满足设备使用要求，满足招标方现场要求</w:t>
      </w:r>
    </w:p>
    <w:p w14:paraId="59A8ABA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试验台安装调试完成后需进行清洁、除锈和防锈处理。</w:t>
      </w:r>
    </w:p>
    <w:p w14:paraId="0D02C037">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试验台拆卸时，不允许暴力拆解。</w:t>
      </w:r>
    </w:p>
    <w:p w14:paraId="1E2B1D77">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招标方水、电、气等公用资源，均提供到设备附近。配电箱以下、气源出口以下、水管出口以下均由投标方负责。</w:t>
      </w:r>
    </w:p>
    <w:p w14:paraId="145C0059">
      <w:pPr>
        <w:widowControl/>
        <w:spacing w:line="360" w:lineRule="auto"/>
        <w:ind w:firstLine="480" w:firstLineChars="200"/>
        <w:jc w:val="left"/>
        <w:rPr>
          <w:rFonts w:ascii="Times New Roman" w:hAnsi="Times New Roman" w:eastAsia="宋体" w:cs="Times New Roman"/>
          <w:sz w:val="24"/>
          <w:szCs w:val="20"/>
        </w:rPr>
      </w:pPr>
    </w:p>
    <w:p w14:paraId="7E32D42A">
      <w:pPr>
        <w:keepNext/>
        <w:keepLines/>
        <w:widowControl/>
        <w:spacing w:line="360" w:lineRule="auto"/>
        <w:ind w:left="420"/>
        <w:jc w:val="center"/>
        <w:outlineLvl w:val="1"/>
        <w:rPr>
          <w:rFonts w:ascii="Arial" w:hAnsi="Arial" w:eastAsia="黑体" w:cs="Times New Roman"/>
          <w:b/>
          <w:bCs/>
          <w:sz w:val="28"/>
          <w:szCs w:val="32"/>
          <w:lang w:val="zh-CN"/>
        </w:rPr>
      </w:pPr>
      <w:r>
        <w:rPr>
          <w:rFonts w:hint="eastAsia" w:ascii="Arial" w:hAnsi="Arial" w:eastAsia="黑体" w:cs="Times New Roman"/>
          <w:b/>
          <w:bCs/>
          <w:sz w:val="28"/>
          <w:szCs w:val="32"/>
          <w:lang w:val="zh-CN"/>
        </w:rPr>
        <w:t>搬迁作法规范</w:t>
      </w:r>
      <w:bookmarkEnd w:id="46"/>
    </w:p>
    <w:p w14:paraId="4E11506F">
      <w:pPr>
        <w:widowControl/>
        <w:spacing w:line="360" w:lineRule="auto"/>
        <w:ind w:firstLine="480" w:firstLineChars="200"/>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(本项目作业如涉及以下方面，均需按以下内容执行</w:t>
      </w:r>
      <w:r>
        <w:rPr>
          <w:rFonts w:ascii="Times New Roman" w:hAnsi="Times New Roman" w:eastAsia="宋体" w:cs="Times New Roman"/>
          <w:sz w:val="24"/>
          <w:szCs w:val="20"/>
        </w:rPr>
        <w:t>)</w:t>
      </w:r>
    </w:p>
    <w:p w14:paraId="01B4F5C8">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52" w:name="_Toc142725006"/>
      <w:r>
        <w:rPr>
          <w:rFonts w:hint="eastAsia" w:ascii="Times New Roman" w:hAnsi="Times New Roman" w:eastAsia="宋体" w:cs="Times New Roman"/>
          <w:b/>
          <w:bCs/>
          <w:sz w:val="24"/>
          <w:szCs w:val="32"/>
          <w:lang w:val="zh-CN"/>
        </w:rPr>
        <w:t>拆卸原则</w:t>
      </w:r>
      <w:bookmarkEnd w:id="47"/>
      <w:bookmarkEnd w:id="52"/>
    </w:p>
    <w:p w14:paraId="70E95775">
      <w:pPr>
        <w:widowControl/>
        <w:numPr>
          <w:ilvl w:val="0"/>
          <w:numId w:val="3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先小后大，先易后难，先地面后高空，先外围后主机，必须要解体的设备要尽量少分，同时又要满足包装要求，最终达到设备重新安装后的精度性能同拆卸前一致。为加强岗位责任，采用分工负责制，谁拆卸，谁安装。</w:t>
      </w:r>
    </w:p>
    <w:p w14:paraId="45B9B105">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拆卸前，首先必须知会招标方切断并配合拆除该设备的电源、水源、气源等和车间动力联系的部位。</w:t>
      </w:r>
    </w:p>
    <w:p w14:paraId="0D503729">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拆卸前放空润滑油、冷却液、清洗液、压缩空气等。</w:t>
      </w:r>
    </w:p>
    <w:p w14:paraId="34598EEF">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拆卸中应避免破坏性拆装（如气割等），如必须进行的要通过招标方确认。</w:t>
      </w:r>
    </w:p>
    <w:p w14:paraId="157DD23E">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有的电线、电缆不准剪断，拆下来的线头都要有标号，对有些线头没有标号的，要先补充后再拆下，线号不准丢失，拆线前要进行三对照（内部线号、端子板号、外部线号）确认无误并进行拍照留底后方可拆卸，否则要调整线号。</w:t>
      </w:r>
    </w:p>
    <w:p w14:paraId="7D39CBAF">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拆卸中要保证设备的绝对安全，要选用合适的工机具，不得随便代用，更不得使用大锤蛮力敲击。</w:t>
      </w:r>
    </w:p>
    <w:p w14:paraId="362F7B1A">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吊装中设备不得磕碰，要选择合适的吊点慢吊轻放，钢丝绳和设备接触处要采取保护措施。</w:t>
      </w:r>
    </w:p>
    <w:p w14:paraId="62B24DB3">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利用铲车运输设备时要把设备捆牢、绑紧，以免在下坡或受震动时掉下。</w:t>
      </w:r>
    </w:p>
    <w:p w14:paraId="026C9DB7">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组合设备拆装时，拆下的螺栓、螺母，定位销等要涂油后立即拧回和插入原位，以免混乱和丢失。</w:t>
      </w:r>
    </w:p>
    <w:p w14:paraId="4E8FBCC5">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对设备上的一些可动部分，如溜板、可旋转机构等，动力头等要降低重心，用木板垫死后再锁紧。</w:t>
      </w:r>
    </w:p>
    <w:p w14:paraId="4464E10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设备的液压管路较多，每拆一个头前，必须先挂上带有安装号的标志牌，有些部件要作好定位线记号，拆下的管子二端要立即用蜡纸包扎，以免污染和损坏丝扣。</w:t>
      </w:r>
    </w:p>
    <w:p w14:paraId="79376BBC">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拆下的设备要按指定地点存放。</w:t>
      </w:r>
    </w:p>
    <w:p w14:paraId="721EBFC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设备的电气柜内插件板不要拔下，用胶带纸封住加固。</w:t>
      </w:r>
    </w:p>
    <w:p w14:paraId="088CBC81">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作好拆卸过程记录，拍照建档，并交相关人员。</w:t>
      </w:r>
      <w:bookmarkStart w:id="53" w:name="_Toc30281"/>
    </w:p>
    <w:p w14:paraId="0E7973CF">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54" w:name="_Toc142725007"/>
      <w:r>
        <w:rPr>
          <w:rFonts w:hint="eastAsia" w:ascii="Times New Roman" w:hAnsi="Times New Roman" w:eastAsia="宋体" w:cs="Times New Roman"/>
          <w:b/>
          <w:bCs/>
          <w:sz w:val="24"/>
          <w:szCs w:val="32"/>
          <w:lang w:val="zh-CN"/>
        </w:rPr>
        <w:t>作业准备</w:t>
      </w:r>
      <w:bookmarkEnd w:id="53"/>
      <w:bookmarkEnd w:id="54"/>
    </w:p>
    <w:p w14:paraId="5901F109">
      <w:pPr>
        <w:widowControl/>
        <w:spacing w:line="360" w:lineRule="auto"/>
        <w:jc w:val="left"/>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技术交底：</w:t>
      </w:r>
    </w:p>
    <w:p w14:paraId="791242E6">
      <w:pPr>
        <w:widowControl/>
        <w:spacing w:line="360" w:lineRule="auto"/>
        <w:ind w:left="480"/>
        <w:jc w:val="left"/>
        <w:rPr>
          <w:rFonts w:ascii="Times New Roman" w:hAnsi="Times New Roman" w:eastAsia="宋体" w:cs="Times New Roman"/>
          <w:sz w:val="24"/>
          <w:szCs w:val="20"/>
        </w:rPr>
      </w:pPr>
      <w:r>
        <w:rPr>
          <w:rFonts w:ascii="Times New Roman" w:hAnsi="Times New Roman" w:eastAsia="宋体" w:cs="Times New Roman"/>
          <w:sz w:val="24"/>
          <w:szCs w:val="20"/>
        </w:rPr>
        <w:t>招标方根据</w:t>
      </w:r>
      <w:r>
        <w:rPr>
          <w:rFonts w:hint="eastAsia" w:ascii="Times New Roman" w:hAnsi="Times New Roman" w:eastAsia="宋体" w:cs="Times New Roman"/>
          <w:sz w:val="24"/>
          <w:szCs w:val="20"/>
        </w:rPr>
        <w:t>迁入迁出</w:t>
      </w:r>
      <w:r>
        <w:rPr>
          <w:rFonts w:ascii="Times New Roman" w:hAnsi="Times New Roman" w:eastAsia="宋体" w:cs="Times New Roman"/>
          <w:sz w:val="24"/>
          <w:szCs w:val="20"/>
        </w:rPr>
        <w:t>现场情况，完成搬迁方案和计划。经招标方同意后实施。</w:t>
      </w:r>
    </w:p>
    <w:p w14:paraId="0015E789">
      <w:pPr>
        <w:widowControl/>
        <w:numPr>
          <w:ilvl w:val="0"/>
          <w:numId w:val="3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准备工作：</w:t>
      </w:r>
    </w:p>
    <w:p w14:paraId="57BDB620">
      <w:pPr>
        <w:widowControl/>
        <w:spacing w:line="360" w:lineRule="auto"/>
        <w:ind w:left="48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按照招标方规范要求，对所有作业工机具、检测仪器(表)、清洗设备、劳保用品等作好检验、验收、储存、保护工作。</w:t>
      </w:r>
    </w:p>
    <w:p w14:paraId="03A268B8">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设备的检查，包括以下内容：</w:t>
      </w:r>
    </w:p>
    <w:p w14:paraId="63350106">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检验设备的外观，外观拍照留底；</w:t>
      </w:r>
    </w:p>
    <w:p w14:paraId="2E212990">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确认设备的技术参数、动作状态，工厂设备详细搬迁方案；</w:t>
      </w:r>
      <w:r>
        <w:rPr>
          <w:rFonts w:hint="eastAsia" w:ascii="宋体" w:hAnsi="宋体" w:eastAsia="宋体" w:cs="宋体"/>
          <w:sz w:val="24"/>
          <w:szCs w:val="24"/>
        </w:rPr>
        <w:tab/>
      </w:r>
    </w:p>
    <w:p w14:paraId="648A7AA1">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检查设备的安装精度，识别精密设备搬迁风险点，明确应对措施；</w:t>
      </w:r>
    </w:p>
    <w:p w14:paraId="77E51B90">
      <w:pPr>
        <w:widowControl/>
        <w:spacing w:line="360" w:lineRule="auto"/>
        <w:ind w:left="1134" w:firstLine="240" w:firstLineChars="100"/>
        <w:jc w:val="left"/>
        <w:rPr>
          <w:rFonts w:ascii="宋体" w:hAnsi="宋体" w:eastAsia="宋体" w:cs="宋体"/>
          <w:sz w:val="24"/>
          <w:szCs w:val="24"/>
        </w:rPr>
      </w:pPr>
      <w:r>
        <w:rPr>
          <w:rFonts w:ascii="宋体" w:hAnsi="宋体" w:eastAsia="宋体" w:cs="宋体"/>
          <w:sz w:val="24"/>
          <w:szCs w:val="24"/>
        </w:rPr>
        <w:t>拍照记录设备间的相对位置；</w:t>
      </w:r>
    </w:p>
    <w:p w14:paraId="2E5AC9CE">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设备的加工精度以现场就地生产的工件为准，该样品工件随机装箱和发运。</w:t>
      </w:r>
    </w:p>
    <w:p w14:paraId="3B99E7CA">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设备功能确认，搬迁前双方确认各设备功能正常，参考技术协议、说明书等相关设备资料。</w:t>
      </w:r>
    </w:p>
    <w:p w14:paraId="654B1BD8">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以上检查要一机一档做好记录，双方现场代表签字，作为依据，确保安装前后一致。</w:t>
      </w:r>
    </w:p>
    <w:p w14:paraId="6BA13A96">
      <w:pPr>
        <w:widowControl/>
        <w:spacing w:line="360" w:lineRule="auto"/>
        <w:ind w:left="620"/>
        <w:jc w:val="left"/>
        <w:rPr>
          <w:rFonts w:ascii="Times New Roman" w:hAnsi="Times New Roman" w:eastAsia="宋体" w:cs="Times New Roman"/>
          <w:b/>
          <w:bCs/>
          <w:sz w:val="24"/>
          <w:szCs w:val="20"/>
        </w:rPr>
      </w:pPr>
      <w:bookmarkStart w:id="55" w:name="_Toc11677"/>
      <w:bookmarkStart w:id="56" w:name="_Toc142725008"/>
      <w:r>
        <w:rPr>
          <w:rFonts w:hint="eastAsia" w:ascii="Times New Roman" w:hAnsi="Times New Roman" w:eastAsia="宋体" w:cs="Times New Roman"/>
          <w:b/>
          <w:bCs/>
          <w:sz w:val="24"/>
          <w:szCs w:val="20"/>
        </w:rPr>
        <w:t>标记</w:t>
      </w:r>
      <w:bookmarkEnd w:id="55"/>
      <w:bookmarkEnd w:id="56"/>
    </w:p>
    <w:p w14:paraId="69B537DD">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为了方便拆迁和复原安装工作的顺利进行，设备拆迁采用统一的标志方法；即数字标位的办法进行，电气设备的拆迁，基本上采用同一方法进行，并根据电气设备的复杂性，相应增加部分标记符号。</w:t>
      </w:r>
    </w:p>
    <w:p w14:paraId="5F4807D7">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为了确定各线设备在生产线的位置，按各线工艺流程方向排列的先后标定各设备，标定的原则为各可分离的、完成某一工艺过程的设备为划分单元进行标定。</w:t>
      </w:r>
    </w:p>
    <w:p w14:paraId="53ADF1DF">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设备分解要综合考虑，分解及重新安装时，能保持原有精度要求的条件下考虑包装方便，二者有矛盾时应以保证精度，工作性能不发生变化为准。</w:t>
      </w:r>
    </w:p>
    <w:p w14:paraId="21B243E3">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各线(设备)的限位挡块，行程开关，无触点开关，在条件许可的情况下，尽可能不拆下，以减少安装后再调整的工作，必须拆下的，必须严格测定探头的位置与发讯工件 (或挡块)的相对位置和距离，标出安装位置，并作好记录。</w:t>
      </w:r>
    </w:p>
    <w:p w14:paraId="59D0EDD4">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各线设备应按以后安装时可能缺乏资料的情况下，标定各相关的定位尺寸，必要时画出草图，记录具体数据，以便复位安装。</w:t>
      </w:r>
    </w:p>
    <w:p w14:paraId="6F73D775">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对于二个设备之间的联接件，应有复位的标志和定位标记，并且尽可能在一条线上做到符号统一，部件标号可按联接设备的工位。</w:t>
      </w:r>
    </w:p>
    <w:p w14:paraId="538B0EB3">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对于不易辩认方向的设备，要有明显的安装方向符号。各种拆卸符号、标志必须牢靠，定位标记和定位尺寸测量点，应尽可能按永久性要求进行，避免因掏箱运输等原因损坏和模糊，影响安装。</w:t>
      </w:r>
    </w:p>
    <w:p w14:paraId="245C28C4">
      <w:pPr>
        <w:widowControl/>
        <w:numPr>
          <w:ilvl w:val="0"/>
          <w:numId w:val="3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记录工作是以后安装工作顺利进行的保证，必须有专人负责，需要招标方签证认可的工作，必须坚持会签制度，特别是设备检查的缺陷记录，装箱清单记录。</w:t>
      </w:r>
    </w:p>
    <w:p w14:paraId="0E4CB582">
      <w:pPr>
        <w:widowControl/>
        <w:spacing w:line="360" w:lineRule="auto"/>
        <w:ind w:left="620"/>
        <w:jc w:val="left"/>
        <w:rPr>
          <w:rFonts w:ascii="Times New Roman" w:hAnsi="Times New Roman" w:eastAsia="宋体" w:cs="Times New Roman"/>
          <w:b/>
          <w:bCs/>
          <w:sz w:val="24"/>
          <w:szCs w:val="20"/>
        </w:rPr>
      </w:pPr>
      <w:bookmarkStart w:id="57" w:name="_Toc10812"/>
      <w:bookmarkStart w:id="58" w:name="_Toc142725009"/>
      <w:r>
        <w:rPr>
          <w:rFonts w:hint="eastAsia" w:ascii="Times New Roman" w:hAnsi="Times New Roman" w:eastAsia="宋体" w:cs="Times New Roman"/>
          <w:b/>
          <w:bCs/>
          <w:sz w:val="24"/>
          <w:szCs w:val="20"/>
        </w:rPr>
        <w:t>拆卸记录</w:t>
      </w:r>
      <w:bookmarkEnd w:id="57"/>
      <w:bookmarkEnd w:id="58"/>
    </w:p>
    <w:p w14:paraId="6BE7F860">
      <w:pPr>
        <w:widowControl/>
        <w:numPr>
          <w:ilvl w:val="0"/>
          <w:numId w:val="4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由于拆卸的设备一般都是旧设备，拆卸前投标方应对每台设备的外观、相对位置、安装精度、工艺情况作好检查，并且会同招标方有关技术人员填好会签表格，作为今后交工验收的依据，对个别正在运行的设备，我们还可取其被试件作为调试中的样品，以作设备安装后精度的标准，对一些控制方式较先进的设备，比如用计算机控制的设备，要考虑从停产、拆卸、包装、运输、重新安装、调试运行这样一个长周期过程中，机内程序丢失问题，要及时作好备份。</w:t>
      </w:r>
    </w:p>
    <w:p w14:paraId="696995BF">
      <w:pPr>
        <w:widowControl/>
        <w:numPr>
          <w:ilvl w:val="0"/>
          <w:numId w:val="40"/>
        </w:numPr>
        <w:spacing w:line="360" w:lineRule="auto"/>
        <w:ind w:firstLine="480" w:firstLineChars="200"/>
        <w:jc w:val="left"/>
        <w:rPr>
          <w:rFonts w:ascii="Times New Roman" w:hAnsi="Times New Roman" w:eastAsia="宋体" w:cs="Times New Roman"/>
          <w:sz w:val="24"/>
          <w:szCs w:val="20"/>
        </w:rPr>
      </w:pPr>
      <w:r>
        <w:rPr>
          <w:rFonts w:ascii="Times New Roman" w:hAnsi="Times New Roman" w:eastAsia="宋体" w:cs="Times New Roman"/>
          <w:sz w:val="24"/>
          <w:szCs w:val="20"/>
        </w:rPr>
        <w:t>做好拆卸标记</w:t>
      </w:r>
      <w:r>
        <w:rPr>
          <w:rFonts w:hint="eastAsia" w:ascii="Times New Roman" w:hAnsi="Times New Roman" w:eastAsia="宋体" w:cs="Times New Roman"/>
          <w:sz w:val="24"/>
          <w:szCs w:val="20"/>
        </w:rPr>
        <w:t>号是一项十分重要而又细致的工作，设备的拆卸务必要做好这项工作，拆卸时要按照统一标号法编号，为今后顺利安装提供保证，另外除了对拆卸设备进行编号外，还要对设备某些部分作好定位标记，如设备的工艺档块，碰头限位开关的位置，各种传感器的安装位置、保险装置、安全阀的原始位置以及一些圆形安装件，对称安装件在拆装过程中有可能改变位置，在拆时作好定位标记，安装时就能很容易地恢复原位，减少不必要的调整和失误。</w:t>
      </w:r>
    </w:p>
    <w:p w14:paraId="0BBC0B65">
      <w:pPr>
        <w:widowControl/>
        <w:numPr>
          <w:ilvl w:val="0"/>
          <w:numId w:val="4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根据总的拆卸原则，结合各设备的实际情况，确定主要拆卸件的数量，各件的外形尺寸及估算重量，拆前应绘制出测出各部分的相关尺寸，绘制必要的管路系统图，对运行导轨，动力头及各种传感检测元件采取保护措施。</w:t>
      </w:r>
    </w:p>
    <w:p w14:paraId="6A394547">
      <w:pPr>
        <w:widowControl/>
        <w:numPr>
          <w:ilvl w:val="0"/>
          <w:numId w:val="4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管路、线路拆除</w:t>
      </w:r>
    </w:p>
    <w:p w14:paraId="3747A414">
      <w:pPr>
        <w:widowControl/>
        <w:numPr>
          <w:ilvl w:val="0"/>
          <w:numId w:val="4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拆卸时应先拆支管后拆总管，最后支架。在其他设备解体件外形尺寸内的管线不再拆卸，由软管与设备连接时，将与管子连接拆开后，将软管绑扎到设备上，拆卸时要特别注意以下几点：</w:t>
      </w:r>
    </w:p>
    <w:p w14:paraId="51DA650E">
      <w:pPr>
        <w:widowControl/>
        <w:numPr>
          <w:ilvl w:val="0"/>
          <w:numId w:val="41"/>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绘制出各生产线必要的管路系统图；</w:t>
      </w:r>
    </w:p>
    <w:p w14:paraId="01D0132C">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由于拆卸的管头较多，因此必须在被拆卸的管接头两侧先挂上安装标号牌，拆下的管接头要包扎好，以免损坏丝扣和污物进入；</w:t>
      </w:r>
    </w:p>
    <w:p w14:paraId="2582AE9B">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管接头所带的密封垫不得遗失，可一起包扎在管接头内；</w:t>
      </w:r>
    </w:p>
    <w:p w14:paraId="77228074">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拆下的管子，按其所载的介质种别，分别捆绑，挂好装箱标记，送往指定地点；</w:t>
      </w:r>
    </w:p>
    <w:p w14:paraId="57306447">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拆卸时，必须用合适的工、机具，用力适当，每件拆卸件必须有装箱号，并进行防锈处理后才可装箱。</w:t>
      </w:r>
    </w:p>
    <w:p w14:paraId="4B068E34">
      <w:pPr>
        <w:widowControl/>
        <w:spacing w:line="360" w:lineRule="auto"/>
        <w:ind w:left="620"/>
        <w:jc w:val="left"/>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解体</w:t>
      </w:r>
    </w:p>
    <w:p w14:paraId="6773DFDB">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根据各工艺设备的具体情况及运输要求，确定其是否解体，解体过程中要注意以下几点：</w:t>
      </w:r>
    </w:p>
    <w:p w14:paraId="37E368EA">
      <w:pPr>
        <w:widowControl/>
        <w:spacing w:line="360" w:lineRule="auto"/>
        <w:ind w:left="480"/>
        <w:jc w:val="left"/>
        <w:rPr>
          <w:rFonts w:ascii="宋体" w:hAnsi="宋体" w:eastAsia="宋体" w:cs="宋体"/>
          <w:sz w:val="24"/>
          <w:szCs w:val="24"/>
        </w:rPr>
      </w:pPr>
      <w:r>
        <w:rPr>
          <w:rFonts w:hint="eastAsia" w:ascii="宋体" w:hAnsi="宋体" w:eastAsia="宋体" w:cs="宋体"/>
          <w:sz w:val="24"/>
          <w:szCs w:val="24"/>
        </w:rPr>
        <w:t>绘制出必要的工艺设备平面布置图；</w:t>
      </w:r>
    </w:p>
    <w:p w14:paraId="13EF7416">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拆卸过程中要做好详细检查和拆卸、解体记录；</w:t>
      </w:r>
    </w:p>
    <w:p w14:paraId="2A1E309C">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电气系统的拆卸 各加工线（设备）电气系统拆除要注意以下几点；</w:t>
      </w:r>
    </w:p>
    <w:p w14:paraId="0FBFC59A">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拆卸前，要熟悉各电气设备的相对位置，了解电缆走向和其编号意义；</w:t>
      </w:r>
    </w:p>
    <w:p w14:paraId="121FAD95">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画出各电气设备间的相互位置，在拆卸桥架前，要先画出立体图，然后再在图上标上安装号，再将此安装号标在电缆桥架上，标志完毕方可拆卸；</w:t>
      </w:r>
    </w:p>
    <w:p w14:paraId="46C0C645">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考虑到机械电气拆装的安全方便可靠，电缆解体从各动力头按线盒位置进行；</w:t>
      </w:r>
    </w:p>
    <w:p w14:paraId="5FF84D97">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拆卸前要先按对应端子的线编号，全部编上号，认真核对无误后方可拆卸；</w:t>
      </w:r>
    </w:p>
    <w:p w14:paraId="7A2BE143">
      <w:pPr>
        <w:widowControl/>
        <w:numPr>
          <w:ilvl w:val="0"/>
          <w:numId w:val="4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对于位置超高的接线盒，应从立柱上拆下，固定在相应的位置，但线缆不能受力。</w:t>
      </w:r>
    </w:p>
    <w:p w14:paraId="63023F7D">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59" w:name="_Toc142725010"/>
      <w:bookmarkStart w:id="60" w:name="_Toc24832"/>
      <w:r>
        <w:rPr>
          <w:rFonts w:hint="eastAsia" w:ascii="Times New Roman" w:hAnsi="Times New Roman" w:eastAsia="宋体" w:cs="Times New Roman"/>
          <w:b/>
          <w:bCs/>
          <w:sz w:val="24"/>
          <w:szCs w:val="32"/>
          <w:lang w:val="zh-CN"/>
        </w:rPr>
        <w:t>设备拆迁作业安全措施</w:t>
      </w:r>
      <w:bookmarkEnd w:id="59"/>
      <w:bookmarkEnd w:id="60"/>
    </w:p>
    <w:p w14:paraId="5E52EBCB">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为了保证拆迁作业安全，必须满足下列要求及措施：</w:t>
      </w:r>
    </w:p>
    <w:p w14:paraId="1C27D3B7">
      <w:pPr>
        <w:widowControl/>
        <w:numPr>
          <w:ilvl w:val="0"/>
          <w:numId w:val="4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熟悉环境了解水、气、电力控制的操作位置，拆卸时必须明确停断状态方能操作；</w:t>
      </w:r>
    </w:p>
    <w:p w14:paraId="00A487A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严格按电气安全规程作业，停断必须挂有“禁止合闸”的标志牌，并有防止误送电的技术措施；</w:t>
      </w:r>
    </w:p>
    <w:p w14:paraId="68D1E173">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正确使用现场工、机具，了解其使用性能；</w:t>
      </w:r>
    </w:p>
    <w:p w14:paraId="38D56061">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严格遵守防火规定，需要明火操作时，必须有防火措施，并有专人监护，在易燃、易 爆物周围，要严格禁止明火作业；</w:t>
      </w:r>
    </w:p>
    <w:p w14:paraId="06243420">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应尽量避免交叉作业，高空作业必须携带安全带，安全带悬挂必须符合安全规程要求；</w:t>
      </w:r>
    </w:p>
    <w:p w14:paraId="16773CC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拆卸设备时，必须先熟悉相关图纸及设备，禁止盲目操作；</w:t>
      </w:r>
    </w:p>
    <w:p w14:paraId="427E7D0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拆卸设备和吊运时，必须注意不得损坏厂房及设施；</w:t>
      </w:r>
    </w:p>
    <w:p w14:paraId="0F90B6A4">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现场应配备专职安检员，及时检查和清除不安全因素；</w:t>
      </w:r>
    </w:p>
    <w:p w14:paraId="015D839C">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 xml:space="preserve">要做到文明作业，及时清理现场和废物。 </w:t>
      </w:r>
    </w:p>
    <w:p w14:paraId="034C1D47">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61" w:name="_Toc142725011"/>
      <w:bookmarkStart w:id="62" w:name="_Toc14721"/>
      <w:r>
        <w:rPr>
          <w:rFonts w:hint="eastAsia" w:ascii="Times New Roman" w:hAnsi="Times New Roman" w:eastAsia="宋体" w:cs="Times New Roman"/>
          <w:b/>
          <w:bCs/>
          <w:sz w:val="24"/>
          <w:szCs w:val="32"/>
          <w:lang w:val="zh-CN"/>
        </w:rPr>
        <w:t>设备起吊方案</w:t>
      </w:r>
      <w:bookmarkEnd w:id="61"/>
      <w:bookmarkEnd w:id="62"/>
    </w:p>
    <w:p w14:paraId="1CCBA665">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本项目中，单个设备可能由多个部分组成，单个部分的最大重量约</w:t>
      </w:r>
      <w:r>
        <w:rPr>
          <w:rFonts w:ascii="宋体" w:hAnsi="宋体" w:eastAsia="宋体" w:cs="宋体"/>
          <w:color w:val="FF0000"/>
          <w:sz w:val="24"/>
          <w:szCs w:val="24"/>
        </w:rPr>
        <w:t>3</w:t>
      </w:r>
      <w:r>
        <w:rPr>
          <w:rFonts w:hint="eastAsia" w:ascii="宋体" w:hAnsi="宋体" w:eastAsia="宋体" w:cs="宋体"/>
          <w:color w:val="FF0000"/>
          <w:sz w:val="24"/>
          <w:szCs w:val="24"/>
        </w:rPr>
        <w:t>吨。</w:t>
      </w:r>
    </w:p>
    <w:p w14:paraId="5D90865A">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吊装前首要条件是保护好设备，对超长、超宽、超高的设备在双方协商共识后解体搬迁。</w:t>
      </w:r>
    </w:p>
    <w:p w14:paraId="6CBF7B0C">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气压脉冲试验台位于3号试验室2层，计划采用地牛在本层移动至货运电梯，经货运电梯下降至1层。</w:t>
      </w:r>
    </w:p>
    <w:p w14:paraId="3C3A4DD6">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其余两台设备均位于1楼，可通过叉车或地牛移动。</w:t>
      </w:r>
    </w:p>
    <w:p w14:paraId="50BA5C52">
      <w:pPr>
        <w:widowControl/>
        <w:spacing w:line="360" w:lineRule="auto"/>
        <w:ind w:firstLine="480" w:firstLineChars="200"/>
        <w:jc w:val="left"/>
        <w:rPr>
          <w:rFonts w:ascii="宋体" w:hAnsi="宋体" w:eastAsia="宋体" w:cs="宋体"/>
          <w:color w:val="FF0000"/>
          <w:sz w:val="24"/>
          <w:szCs w:val="24"/>
        </w:rPr>
      </w:pPr>
      <w:r>
        <w:rPr>
          <w:rFonts w:hint="eastAsia" w:ascii="宋体" w:hAnsi="宋体" w:eastAsia="宋体" w:cs="宋体"/>
          <w:color w:val="FF0000"/>
          <w:sz w:val="24"/>
          <w:szCs w:val="24"/>
        </w:rPr>
        <w:t>设备装车采用</w:t>
      </w:r>
      <w:r>
        <w:rPr>
          <w:rFonts w:ascii="宋体" w:hAnsi="宋体" w:eastAsia="宋体" w:cs="宋体"/>
          <w:color w:val="FF0000"/>
          <w:sz w:val="24"/>
          <w:szCs w:val="24"/>
        </w:rPr>
        <w:t>至少</w:t>
      </w:r>
      <w:r>
        <w:rPr>
          <w:rFonts w:hint="eastAsia" w:ascii="宋体" w:hAnsi="宋体" w:eastAsia="宋体" w:cs="宋体"/>
          <w:color w:val="FF0000"/>
          <w:sz w:val="24"/>
          <w:szCs w:val="24"/>
        </w:rPr>
        <w:t>5吨叉车进行。</w:t>
      </w:r>
    </w:p>
    <w:p w14:paraId="55307E5E">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63" w:name="_Toc142725012"/>
      <w:bookmarkStart w:id="64" w:name="_Toc29061"/>
      <w:r>
        <w:rPr>
          <w:rFonts w:hint="eastAsia" w:ascii="Times New Roman" w:hAnsi="Times New Roman" w:eastAsia="宋体" w:cs="Times New Roman"/>
          <w:b/>
          <w:bCs/>
          <w:sz w:val="24"/>
          <w:szCs w:val="32"/>
          <w:lang w:val="zh-CN"/>
        </w:rPr>
        <w:t>设备拆除方案</w:t>
      </w:r>
      <w:bookmarkEnd w:id="63"/>
      <w:bookmarkEnd w:id="64"/>
    </w:p>
    <w:p w14:paraId="6AFB939A">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试验室设备的安装方式主要有两种：</w:t>
      </w:r>
    </w:p>
    <w:p w14:paraId="624675EE">
      <w:pPr>
        <w:widowControl/>
        <w:numPr>
          <w:ilvl w:val="0"/>
          <w:numId w:val="44"/>
        </w:numPr>
        <w:spacing w:line="360" w:lineRule="auto"/>
        <w:ind w:firstLine="480" w:firstLineChars="200"/>
        <w:jc w:val="left"/>
        <w:rPr>
          <w:rFonts w:ascii="Times New Roman" w:hAnsi="Times New Roman" w:eastAsia="宋体" w:cs="Times New Roman"/>
          <w:sz w:val="24"/>
          <w:szCs w:val="20"/>
          <w:highlight w:val="yellow"/>
        </w:rPr>
      </w:pPr>
      <w:r>
        <w:rPr>
          <w:rFonts w:hint="eastAsia" w:ascii="Times New Roman" w:hAnsi="Times New Roman" w:eastAsia="宋体" w:cs="Times New Roman"/>
          <w:sz w:val="24"/>
          <w:szCs w:val="20"/>
          <w:highlight w:val="yellow"/>
        </w:rPr>
        <w:t>第一种为铁地板，混凝土浇灌(座椅头枕强度试验台</w:t>
      </w:r>
      <w:r>
        <w:rPr>
          <w:rFonts w:ascii="Times New Roman" w:hAnsi="Times New Roman" w:eastAsia="宋体" w:cs="Times New Roman"/>
          <w:sz w:val="24"/>
          <w:szCs w:val="20"/>
          <w:highlight w:val="yellow"/>
        </w:rPr>
        <w:t>)</w:t>
      </w:r>
      <w:r>
        <w:rPr>
          <w:rFonts w:hint="eastAsia" w:ascii="Times New Roman" w:hAnsi="Times New Roman" w:eastAsia="宋体" w:cs="Times New Roman"/>
          <w:sz w:val="24"/>
          <w:szCs w:val="20"/>
          <w:highlight w:val="yellow"/>
        </w:rPr>
        <w:t>；搬迁后平落在地平上。</w:t>
      </w:r>
    </w:p>
    <w:p w14:paraId="13422494">
      <w:pPr>
        <w:widowControl/>
        <w:spacing w:line="360" w:lineRule="auto"/>
        <w:ind w:firstLine="420"/>
        <w:jc w:val="left"/>
        <w:rPr>
          <w:rFonts w:ascii="宋体" w:hAnsi="宋体" w:eastAsia="宋体" w:cs="宋体"/>
          <w:sz w:val="24"/>
          <w:szCs w:val="24"/>
        </w:rPr>
      </w:pPr>
      <w:r>
        <w:rPr>
          <w:rFonts w:hint="eastAsia" w:ascii="宋体" w:hAnsi="宋体" w:eastAsia="宋体" w:cs="宋体"/>
          <w:sz w:val="24"/>
          <w:szCs w:val="24"/>
        </w:rPr>
        <w:t>座椅</w:t>
      </w:r>
      <w:r>
        <w:rPr>
          <w:rFonts w:hint="eastAsia" w:ascii="宋体" w:hAnsi="宋体" w:eastAsia="宋体" w:cs="宋体"/>
          <w:sz w:val="24"/>
          <w:szCs w:val="24"/>
          <w:highlight w:val="yellow"/>
        </w:rPr>
        <w:t>头枕强度试验台铁地板四周混凝土</w:t>
      </w:r>
      <w:r>
        <w:rPr>
          <w:rFonts w:hint="eastAsia" w:ascii="宋体" w:hAnsi="宋体" w:eastAsia="宋体" w:cs="宋体"/>
          <w:sz w:val="24"/>
          <w:szCs w:val="24"/>
        </w:rPr>
        <w:t>破拆也由投标方负责，破拆前座椅</w:t>
      </w:r>
      <w:r>
        <w:rPr>
          <w:rFonts w:hint="eastAsia" w:ascii="宋体" w:hAnsi="宋体" w:eastAsia="宋体" w:cs="宋体"/>
          <w:sz w:val="24"/>
          <w:szCs w:val="24"/>
          <w:highlight w:val="yellow"/>
        </w:rPr>
        <w:t>头枕强度投标方应用塑料布将试验台全部罩住，以防灰尘进入到设备内。</w:t>
      </w:r>
    </w:p>
    <w:p w14:paraId="70F7A250">
      <w:pPr>
        <w:widowControl/>
        <w:spacing w:line="360" w:lineRule="auto"/>
        <w:ind w:left="900"/>
        <w:jc w:val="left"/>
        <w:rPr>
          <w:rFonts w:ascii="宋体" w:hAnsi="宋体" w:eastAsia="宋体" w:cs="宋体"/>
          <w:sz w:val="24"/>
          <w:szCs w:val="24"/>
        </w:rPr>
      </w:pPr>
      <w:r>
        <w:rPr>
          <w:rFonts w:ascii="宋体" w:hAnsi="宋体" w:eastAsia="宋体" w:cs="宋体"/>
          <w:sz w:val="24"/>
          <w:szCs w:val="24"/>
        </w:rPr>
        <w:drawing>
          <wp:inline distT="0" distB="0" distL="0" distR="0">
            <wp:extent cx="2698750" cy="3599815"/>
            <wp:effectExtent l="0" t="0" r="6350" b="635"/>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a:xfrm>
                      <a:off x="0" y="0"/>
                      <a:ext cx="2699182" cy="3600000"/>
                    </a:xfrm>
                    <a:prstGeom prst="rect">
                      <a:avLst/>
                    </a:prstGeom>
                    <a:noFill/>
                    <a:ln>
                      <a:noFill/>
                    </a:ln>
                  </pic:spPr>
                </pic:pic>
              </a:graphicData>
            </a:graphic>
          </wp:inline>
        </w:drawing>
      </w:r>
    </w:p>
    <w:p w14:paraId="6F0FB76A">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highlight w:val="yellow"/>
        </w:rPr>
        <w:t>第二种为直接放置到地平上（气压脉冲试验台、多楔带疲劳试验</w:t>
      </w:r>
      <w:r>
        <w:rPr>
          <w:rFonts w:hint="eastAsia" w:ascii="Times New Roman" w:hAnsi="Times New Roman" w:eastAsia="宋体" w:cs="Times New Roman"/>
          <w:sz w:val="24"/>
          <w:szCs w:val="20"/>
        </w:rPr>
        <w:t>台）。</w:t>
      </w:r>
    </w:p>
    <w:p w14:paraId="5AA5483B">
      <w:pPr>
        <w:widowControl/>
        <w:spacing w:line="360" w:lineRule="auto"/>
        <w:ind w:firstLine="420"/>
        <w:jc w:val="left"/>
        <w:rPr>
          <w:rFonts w:ascii="宋体" w:hAnsi="宋体" w:eastAsia="宋体" w:cs="宋体"/>
          <w:sz w:val="24"/>
          <w:szCs w:val="24"/>
        </w:rPr>
      </w:pPr>
      <w:r>
        <w:rPr>
          <w:rFonts w:hint="eastAsia" w:ascii="宋体" w:hAnsi="宋体" w:eastAsia="宋体" w:cs="宋体"/>
          <w:sz w:val="24"/>
          <w:szCs w:val="24"/>
        </w:rPr>
        <w:t>设备拆除时需要采取保护措施，减少震动和碰撞。精密元器件或脆弱的配件需拆除下来装箱保护。</w:t>
      </w:r>
    </w:p>
    <w:p w14:paraId="26712691">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65" w:name="_Toc142725013"/>
      <w:bookmarkStart w:id="66" w:name="_Toc7439"/>
      <w:r>
        <w:rPr>
          <w:rFonts w:hint="eastAsia" w:ascii="Times New Roman" w:hAnsi="Times New Roman" w:eastAsia="宋体" w:cs="Times New Roman"/>
          <w:b/>
          <w:bCs/>
          <w:sz w:val="24"/>
          <w:szCs w:val="32"/>
          <w:lang w:val="zh-CN"/>
        </w:rPr>
        <w:t>设备运输方案</w:t>
      </w:r>
      <w:bookmarkEnd w:id="65"/>
      <w:bookmarkEnd w:id="66"/>
    </w:p>
    <w:p w14:paraId="26B9DF6C">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有重要设备的载重车须有专人押运，沿途时速要严格控制，避免运输过程急刹车。</w:t>
      </w:r>
    </w:p>
    <w:p w14:paraId="457C3A91">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超宽超高设备运输应选择避开市区道路车流高峰时段，必要时应到交通管理部门办理超宽超高运输许可手续。</w:t>
      </w:r>
    </w:p>
    <w:p w14:paraId="62D64124">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设备零星件装箱运输；装车时主体设备放置在垫木上，必须用钢丝绳或倒链固定，必要时做金属支撑加固；运输多台设备，两设备间加装木方支撑保护，避免碰撞；所有运输设备或配件用雨布遮盖，防止灰尘和下雨。</w:t>
      </w:r>
    </w:p>
    <w:p w14:paraId="700CB98C">
      <w:pPr>
        <w:widowControl/>
        <w:adjustRightInd w:val="0"/>
        <w:spacing w:line="360" w:lineRule="auto"/>
        <w:ind w:left="480" w:firstLine="480" w:firstLineChars="200"/>
        <w:jc w:val="center"/>
        <w:textAlignment w:val="baseline"/>
        <w:rPr>
          <w:rFonts w:ascii="宋体" w:hAnsi="宋体" w:eastAsia="宋体" w:cs="宋体"/>
          <w:sz w:val="24"/>
          <w:szCs w:val="24"/>
        </w:rPr>
      </w:pPr>
      <w:r>
        <w:rPr>
          <w:rFonts w:hint="eastAsia" w:ascii="宋体" w:hAnsi="宋体" w:eastAsia="宋体" w:cs="宋体"/>
          <w:sz w:val="24"/>
          <w:szCs w:val="24"/>
        </w:rPr>
        <w:drawing>
          <wp:inline distT="0" distB="0" distL="114300" distR="114300">
            <wp:extent cx="1800225" cy="1443355"/>
            <wp:effectExtent l="0" t="0" r="3175" b="4445"/>
            <wp:docPr id="71" name="图片 72"/>
            <wp:cNvGraphicFramePr/>
            <a:graphic xmlns:a="http://schemas.openxmlformats.org/drawingml/2006/main">
              <a:graphicData uri="http://schemas.openxmlformats.org/drawingml/2006/picture">
                <pic:pic xmlns:pic="http://schemas.openxmlformats.org/drawingml/2006/picture">
                  <pic:nvPicPr>
                    <pic:cNvPr id="71" name="图片 72"/>
                    <pic:cNvPicPr/>
                  </pic:nvPicPr>
                  <pic:blipFill>
                    <a:blip r:embed="rId50"/>
                    <a:stretch>
                      <a:fillRect/>
                    </a:stretch>
                  </pic:blipFill>
                  <pic:spPr>
                    <a:xfrm>
                      <a:off x="0" y="0"/>
                      <a:ext cx="1800225" cy="1443355"/>
                    </a:xfrm>
                    <a:prstGeom prst="rect">
                      <a:avLst/>
                    </a:prstGeom>
                    <a:noFill/>
                    <a:ln>
                      <a:noFill/>
                    </a:ln>
                  </pic:spPr>
                </pic:pic>
              </a:graphicData>
            </a:graphic>
          </wp:inline>
        </w:drawing>
      </w:r>
      <w:r>
        <w:rPr>
          <w:rFonts w:hint="eastAsia" w:ascii="宋体" w:hAnsi="宋体" w:eastAsia="宋体" w:cs="宋体"/>
          <w:sz w:val="24"/>
          <w:szCs w:val="24"/>
        </w:rPr>
        <w:drawing>
          <wp:inline distT="0" distB="0" distL="114300" distR="114300">
            <wp:extent cx="1800225" cy="1443355"/>
            <wp:effectExtent l="0" t="0" r="3175" b="4445"/>
            <wp:docPr id="72" name="图片 73"/>
            <wp:cNvGraphicFramePr/>
            <a:graphic xmlns:a="http://schemas.openxmlformats.org/drawingml/2006/main">
              <a:graphicData uri="http://schemas.openxmlformats.org/drawingml/2006/picture">
                <pic:pic xmlns:pic="http://schemas.openxmlformats.org/drawingml/2006/picture">
                  <pic:nvPicPr>
                    <pic:cNvPr id="72" name="图片 73"/>
                    <pic:cNvPicPr/>
                  </pic:nvPicPr>
                  <pic:blipFill>
                    <a:blip r:embed="rId51"/>
                    <a:stretch>
                      <a:fillRect/>
                    </a:stretch>
                  </pic:blipFill>
                  <pic:spPr>
                    <a:xfrm>
                      <a:off x="0" y="0"/>
                      <a:ext cx="1800225" cy="1443355"/>
                    </a:xfrm>
                    <a:prstGeom prst="rect">
                      <a:avLst/>
                    </a:prstGeom>
                    <a:noFill/>
                    <a:ln>
                      <a:noFill/>
                    </a:ln>
                  </pic:spPr>
                </pic:pic>
              </a:graphicData>
            </a:graphic>
          </wp:inline>
        </w:drawing>
      </w:r>
      <w:r>
        <w:rPr>
          <w:rFonts w:hint="eastAsia" w:ascii="宋体" w:hAnsi="宋体" w:eastAsia="宋体" w:cs="宋体"/>
          <w:sz w:val="24"/>
          <w:szCs w:val="24"/>
        </w:rPr>
        <w:drawing>
          <wp:inline distT="0" distB="0" distL="114300" distR="114300">
            <wp:extent cx="1800225" cy="1438910"/>
            <wp:effectExtent l="0" t="0" r="3175" b="8890"/>
            <wp:docPr id="73" name="图片 71"/>
            <wp:cNvGraphicFramePr/>
            <a:graphic xmlns:a="http://schemas.openxmlformats.org/drawingml/2006/main">
              <a:graphicData uri="http://schemas.openxmlformats.org/drawingml/2006/picture">
                <pic:pic xmlns:pic="http://schemas.openxmlformats.org/drawingml/2006/picture">
                  <pic:nvPicPr>
                    <pic:cNvPr id="73" name="图片 71"/>
                    <pic:cNvPicPr/>
                  </pic:nvPicPr>
                  <pic:blipFill>
                    <a:blip r:embed="rId52"/>
                    <a:stretch>
                      <a:fillRect/>
                    </a:stretch>
                  </pic:blipFill>
                  <pic:spPr>
                    <a:xfrm>
                      <a:off x="0" y="0"/>
                      <a:ext cx="1800225" cy="1438910"/>
                    </a:xfrm>
                    <a:prstGeom prst="rect">
                      <a:avLst/>
                    </a:prstGeom>
                    <a:noFill/>
                    <a:ln>
                      <a:noFill/>
                    </a:ln>
                  </pic:spPr>
                </pic:pic>
              </a:graphicData>
            </a:graphic>
          </wp:inline>
        </w:drawing>
      </w:r>
    </w:p>
    <w:p w14:paraId="4092E25F">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67" w:name="_Toc142725014"/>
      <w:bookmarkStart w:id="68" w:name="_Toc5916"/>
      <w:r>
        <w:rPr>
          <w:rFonts w:hint="eastAsia" w:ascii="Times New Roman" w:hAnsi="Times New Roman" w:eastAsia="宋体" w:cs="Times New Roman"/>
          <w:b/>
          <w:bCs/>
          <w:sz w:val="24"/>
          <w:szCs w:val="32"/>
          <w:lang w:val="zh-CN"/>
        </w:rPr>
        <w:t>设备安装方案</w:t>
      </w:r>
      <w:bookmarkEnd w:id="67"/>
      <w:bookmarkEnd w:id="68"/>
    </w:p>
    <w:p w14:paraId="02D06E76">
      <w:pPr>
        <w:widowControl/>
        <w:numPr>
          <w:ilvl w:val="0"/>
          <w:numId w:val="4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单台设备安装工艺</w:t>
      </w:r>
    </w:p>
    <w:p w14:paraId="7908B8B4">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设备从存放地至安装位置的随箱起吊、运输、开箱、清点、查验、移交；</w:t>
      </w:r>
    </w:p>
    <w:p w14:paraId="07DC3DB7">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地基基础检查、清理及安装器材准备；</w:t>
      </w:r>
    </w:p>
    <w:p w14:paraId="453A199E">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设备吊装、就位、一次找正；</w:t>
      </w:r>
    </w:p>
    <w:p w14:paraId="0DE86678">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地脚螺栓灌浆、养护、二次找正；</w:t>
      </w:r>
    </w:p>
    <w:p w14:paraId="225ADA82">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管路连接；</w:t>
      </w:r>
    </w:p>
    <w:p w14:paraId="7006BA31">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液压系统安装及管路连接；</w:t>
      </w:r>
    </w:p>
    <w:p w14:paraId="08CF28D9">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润滑系统安装及管路连接；</w:t>
      </w:r>
    </w:p>
    <w:p w14:paraId="70837064">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风管连接；</w:t>
      </w:r>
    </w:p>
    <w:p w14:paraId="51A2ED9F">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控制柜、操作柜的安装，考虑安装现场吊装；</w:t>
      </w:r>
    </w:p>
    <w:p w14:paraId="3D274FDA">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电气仪表及控制系统安装、配线及桥架铺设；</w:t>
      </w:r>
    </w:p>
    <w:p w14:paraId="12AB0948">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与上下辅机的控制联络接口安装；</w:t>
      </w:r>
    </w:p>
    <w:p w14:paraId="3B7B6200">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润滑部位的润滑油脂加注（包括减速机等）；</w:t>
      </w:r>
    </w:p>
    <w:p w14:paraId="7371B248">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设备擦洗、现场清理；</w:t>
      </w:r>
    </w:p>
    <w:p w14:paraId="07BB890C">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配合设备空负荷试车、综合检查、整改、安装阶段验收、配合负荷联动试车、最终验收；</w:t>
      </w:r>
    </w:p>
    <w:p w14:paraId="6235C9FC">
      <w:pPr>
        <w:widowControl/>
        <w:numPr>
          <w:ilvl w:val="0"/>
          <w:numId w:val="4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系统清理、设备擦洗、综合检查、空负荷试车、配合负荷试车。</w:t>
      </w:r>
    </w:p>
    <w:p w14:paraId="4AF734AC">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设备安装通用技术要求</w:t>
      </w:r>
    </w:p>
    <w:p w14:paraId="38730722">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作业前必须首先提交安装作业组织计划，并以此作为作业质量及进度的约束性文件加以贯彻实施；</w:t>
      </w:r>
    </w:p>
    <w:p w14:paraId="7DE09F29">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作业单位进入作业作业区必须遵守《设备安装作业现场管理标准》；</w:t>
      </w:r>
    </w:p>
    <w:p w14:paraId="6D5199CE">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作业单位必须认真填写作业记录,调试及验收报告，竣工时随竣工图纸、资料一同提供；</w:t>
      </w:r>
    </w:p>
    <w:p w14:paraId="5F8F4883">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安装准备阶段首先必须对设备基础进行现场勘验，并进行洁净处理，去除杂质和油迹；</w:t>
      </w:r>
    </w:p>
    <w:p w14:paraId="327222EE">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作业前应对莱芜项目现场油水电气等各能力接口的图纸进行核查，且认可项目建设方作业节点后的管路及线路由投标方设计作业，明确作业界线，确保各管路及线路顺利接入各设备；</w:t>
      </w:r>
    </w:p>
    <w:p w14:paraId="3F6647CF">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作业时，投标方必须对现场预埋件、标高等进行复核，如不合要求，必须以招标方的变更签证为准；</w:t>
      </w:r>
    </w:p>
    <w:p w14:paraId="7210A8F6">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非标件加工或现场制作质量、外购件的质量确认等应由招标方认可；</w:t>
      </w:r>
    </w:p>
    <w:p w14:paraId="4EFBD0A3">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二次灌浆后混凝土固化强度必须达到90%以上后方可进行二次找正；二次找正完成后进行基础抹平；</w:t>
      </w:r>
    </w:p>
    <w:p w14:paraId="0E8E086C">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通用安装内容技术精度可按有关标准或拆迁设备原精度执行；</w:t>
      </w:r>
    </w:p>
    <w:p w14:paraId="50E93FA7">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润滑管路安装前须进行吹干处理，不得混入杂质及水分等；</w:t>
      </w:r>
    </w:p>
    <w:p w14:paraId="151703DE">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试车完毕后全部管部、风动件均需进行放空、干燥处理，以免生产时管路及元件锈蚀和堵塞；</w:t>
      </w:r>
    </w:p>
    <w:p w14:paraId="14F527AA">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空试合格后，机台周围地面应做砂浆抹面或装饰处理；</w:t>
      </w:r>
    </w:p>
    <w:p w14:paraId="0C438C26">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设备的起吊与运输应视具体条件应避免对设备造成划伤、磕碰、挤压等；</w:t>
      </w:r>
    </w:p>
    <w:p w14:paraId="7C3FBE87">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机台配管接线、动力管线连接、线缆桥架铺设必须按照作业图纸和随机技术要求进行，不得随意改动，确属设计不合理的内容，需经招标方、投标方研究修改，并按修改方案进行整改；</w:t>
      </w:r>
    </w:p>
    <w:p w14:paraId="6B99782E">
      <w:pPr>
        <w:widowControl/>
        <w:numPr>
          <w:ilvl w:val="0"/>
          <w:numId w:val="4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垫铁的接触面积必须≥60%。</w:t>
      </w:r>
    </w:p>
    <w:p w14:paraId="4195ED9F">
      <w:pPr>
        <w:keepNext/>
        <w:keepLines/>
        <w:widowControl/>
        <w:numPr>
          <w:ilvl w:val="0"/>
          <w:numId w:val="36"/>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主要工序作业方案</w:t>
      </w:r>
    </w:p>
    <w:p w14:paraId="023CC05F">
      <w:pPr>
        <w:widowControl/>
        <w:numPr>
          <w:ilvl w:val="0"/>
          <w:numId w:val="4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进场运输</w:t>
      </w:r>
    </w:p>
    <w:p w14:paraId="7FCD34D1">
      <w:pPr>
        <w:widowControl/>
        <w:numPr>
          <w:ilvl w:val="0"/>
          <w:numId w:val="4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根据设备清单提供的单台质量，标记选用恰当吊车和平板车；</w:t>
      </w:r>
    </w:p>
    <w:p w14:paraId="010F1D1D">
      <w:pPr>
        <w:widowControl/>
        <w:numPr>
          <w:ilvl w:val="0"/>
          <w:numId w:val="4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起吊设备用吊点应根据包装标记方式；</w:t>
      </w:r>
    </w:p>
    <w:p w14:paraId="7CFA8444">
      <w:pPr>
        <w:widowControl/>
        <w:numPr>
          <w:ilvl w:val="0"/>
          <w:numId w:val="4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起吊与落物时应谨防发生掉落、断裂问题；</w:t>
      </w:r>
    </w:p>
    <w:p w14:paraId="12D079AD">
      <w:pPr>
        <w:widowControl/>
        <w:numPr>
          <w:ilvl w:val="0"/>
          <w:numId w:val="4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设备拆前检验应作出下列项目的记录，并由双方签字，外观、拍摄照片记录、设备名称、型号和规格、设备技术文件、资料及专用工具；设备有无损件，表面有无损坏和锈蚀等；其它需要记录的情况；</w:t>
      </w:r>
    </w:p>
    <w:p w14:paraId="79334D68">
      <w:pPr>
        <w:widowControl/>
        <w:numPr>
          <w:ilvl w:val="0"/>
          <w:numId w:val="4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设备及其零部件和专用工具，均应妥善保管，不得使其变形、损坏、锈蚀或丢失；</w:t>
      </w:r>
    </w:p>
    <w:p w14:paraId="38B406BA">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基础验收</w:t>
      </w:r>
    </w:p>
    <w:p w14:paraId="1B17213D">
      <w:pPr>
        <w:widowControl/>
        <w:numPr>
          <w:ilvl w:val="0"/>
          <w:numId w:val="5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依据基础作业图、设备技术文件，质量要求检查；</w:t>
      </w:r>
    </w:p>
    <w:p w14:paraId="00FF4D24">
      <w:pPr>
        <w:widowControl/>
        <w:numPr>
          <w:ilvl w:val="0"/>
          <w:numId w:val="50"/>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会同招标方、设备原厂代表（如有必要）共同验收，并作验收记录，由三方签字认可。</w:t>
      </w:r>
    </w:p>
    <w:p w14:paraId="0661FEB5">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基础放线</w:t>
      </w:r>
    </w:p>
    <w:p w14:paraId="41CC910D">
      <w:pPr>
        <w:widowControl/>
        <w:numPr>
          <w:ilvl w:val="0"/>
          <w:numId w:val="5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招标方代表应提供和有关建筑物的轴线或边缘线或标高线，作为安装基准线；</w:t>
      </w:r>
    </w:p>
    <w:p w14:paraId="480295D3">
      <w:pPr>
        <w:widowControl/>
        <w:numPr>
          <w:ilvl w:val="0"/>
          <w:numId w:val="5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投标方根据基准线用经纬仪测出设备中心轴线或设备边缘线；</w:t>
      </w:r>
    </w:p>
    <w:p w14:paraId="2C058B81">
      <w:pPr>
        <w:widowControl/>
        <w:numPr>
          <w:ilvl w:val="0"/>
          <w:numId w:val="5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互相有连接或并列关系的设备，一次性测出轴线或边缘线。</w:t>
      </w:r>
    </w:p>
    <w:p w14:paraId="30DF007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设备就位、找正</w:t>
      </w:r>
    </w:p>
    <w:p w14:paraId="169C25E1">
      <w:pPr>
        <w:widowControl/>
        <w:numPr>
          <w:ilvl w:val="0"/>
          <w:numId w:val="5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单台设备的平面位置与基础轴线或边缘线控制允许偏差为±20 毫米；</w:t>
      </w:r>
    </w:p>
    <w:p w14:paraId="65517D7A">
      <w:pPr>
        <w:widowControl/>
        <w:numPr>
          <w:ilvl w:val="0"/>
          <w:numId w:val="5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设备起吊用叉车或轮胎汽车起重机进行，用叉车时应有保护绳捆绑，用汽车吊使用设备吊点或吊索，吊索与设备接触处应有保护垫层，防止拉伤表面；</w:t>
      </w:r>
    </w:p>
    <w:p w14:paraId="5386AACD">
      <w:pPr>
        <w:widowControl/>
        <w:numPr>
          <w:ilvl w:val="0"/>
          <w:numId w:val="5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设备地找正时，招标方代表应指定设备安装检测面、线或点；</w:t>
      </w:r>
    </w:p>
    <w:p w14:paraId="2C90547C">
      <w:pPr>
        <w:widowControl/>
        <w:numPr>
          <w:ilvl w:val="0"/>
          <w:numId w:val="5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设备平面位置和标高对安装基准线的允许偏差项目允许偏差（毫米）平面位置标高，设备找正偏差依下表进行：</w:t>
      </w:r>
    </w:p>
    <w:tbl>
      <w:tblPr>
        <w:tblStyle w:val="45"/>
        <w:tblW w:w="0" w:type="auto"/>
        <w:tblInd w:w="902" w:type="dxa"/>
        <w:tblLayout w:type="autofit"/>
        <w:tblCellMar>
          <w:top w:w="0" w:type="dxa"/>
          <w:left w:w="108" w:type="dxa"/>
          <w:bottom w:w="0" w:type="dxa"/>
          <w:right w:w="108" w:type="dxa"/>
        </w:tblCellMar>
      </w:tblPr>
      <w:tblGrid>
        <w:gridCol w:w="4166"/>
        <w:gridCol w:w="4218"/>
      </w:tblGrid>
      <w:tr w14:paraId="590230A4">
        <w:tblPrEx>
          <w:tblCellMar>
            <w:top w:w="0" w:type="dxa"/>
            <w:left w:w="108" w:type="dxa"/>
            <w:bottom w:w="0" w:type="dxa"/>
            <w:right w:w="108" w:type="dxa"/>
          </w:tblCellMar>
        </w:tblPrEx>
        <w:tc>
          <w:tcPr>
            <w:tcW w:w="4530" w:type="dxa"/>
          </w:tcPr>
          <w:p w14:paraId="5C2B9D3E">
            <w:pPr>
              <w:widowControl/>
              <w:spacing w:line="360" w:lineRule="auto"/>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与其它设备无机械联系</w:t>
            </w:r>
          </w:p>
        </w:tc>
        <w:tc>
          <w:tcPr>
            <w:tcW w:w="4530" w:type="dxa"/>
          </w:tcPr>
          <w:p w14:paraId="69EF300E">
            <w:pPr>
              <w:widowControl/>
              <w:spacing w:line="360" w:lineRule="auto"/>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+10~-10</w:t>
            </w:r>
          </w:p>
        </w:tc>
      </w:tr>
      <w:tr w14:paraId="1440A67F">
        <w:tblPrEx>
          <w:tblCellMar>
            <w:top w:w="0" w:type="dxa"/>
            <w:left w:w="108" w:type="dxa"/>
            <w:bottom w:w="0" w:type="dxa"/>
            <w:right w:w="108" w:type="dxa"/>
          </w:tblCellMar>
        </w:tblPrEx>
        <w:tc>
          <w:tcPr>
            <w:tcW w:w="4530" w:type="dxa"/>
          </w:tcPr>
          <w:p w14:paraId="5531BABF">
            <w:pPr>
              <w:widowControl/>
              <w:spacing w:line="360" w:lineRule="auto"/>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与其它设备有机械联系</w:t>
            </w:r>
          </w:p>
        </w:tc>
        <w:tc>
          <w:tcPr>
            <w:tcW w:w="4530" w:type="dxa"/>
          </w:tcPr>
          <w:p w14:paraId="4AAA6932">
            <w:pPr>
              <w:widowControl/>
              <w:spacing w:line="360" w:lineRule="auto"/>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+2~-2</w:t>
            </w:r>
          </w:p>
        </w:tc>
      </w:tr>
    </w:tbl>
    <w:p w14:paraId="7A2F7AF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地脚螺栓</w:t>
      </w:r>
    </w:p>
    <w:p w14:paraId="2377C070">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如设备采用地脚螺栓固定，按本节所述执行；</w:t>
      </w:r>
    </w:p>
    <w:p w14:paraId="401198B0">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检测设备基础时，同时复核预留地脚螺栓孔，如若未预留地脚螺栓孔，经招标方代表确认，采用人工开凿孔洞或改用胀锚螺栓等其他办法；</w:t>
      </w:r>
    </w:p>
    <w:p w14:paraId="4F6A3F7E">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预埋地脚螺栓孔中应无油污、碎石、泥土、积水等，尺寸无偏差；</w:t>
      </w:r>
    </w:p>
    <w:p w14:paraId="64433C53">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地脚螺栓的选用应依据设备技术文件或招标方代表签发图（文）进行；</w:t>
      </w:r>
    </w:p>
    <w:p w14:paraId="1CA50899">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地脚螺栓孔灌浆采用细碎石混凝土，标号与基础混凝土标号高一号；</w:t>
      </w:r>
    </w:p>
    <w:p w14:paraId="1397321D">
      <w:pPr>
        <w:widowControl/>
        <w:numPr>
          <w:ilvl w:val="0"/>
          <w:numId w:val="5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拧紧地脚螺栓应在预留孔中的混凝土达到设计强度75%以上时进行，各螺栓拧紧力应均匀；</w:t>
      </w:r>
    </w:p>
    <w:p w14:paraId="7FC9C20F">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垫铁或可调螺钉、精平</w:t>
      </w:r>
    </w:p>
    <w:p w14:paraId="6264B258">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设备精平用垫铁或可调螺钉或其他方法来实现，依据设备技术文件或招标方代表签发的文件选用的确定调平方法；</w:t>
      </w:r>
    </w:p>
    <w:p w14:paraId="6188F99B">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垫铁的选用应依据设备底部形状和地脚螺栓数量确定，垫铁规格选用标准规格。</w:t>
      </w:r>
    </w:p>
    <w:p w14:paraId="09F9B570">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采用成对斜垫铁，在调平后灌浆前用定位焊焊牢；</w:t>
      </w:r>
    </w:p>
    <w:p w14:paraId="515F8959">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每一垫铁放置整齐平衡，接触良好，设备调平后每组垫铁均应压紧，用0.05毫米塞尺检查垫铁之间及垫铁与底座面之间的间隙，在垫铁同一断面处以两侧塞入的总和不得超过垫铁长（宽）度的1/3；</w:t>
      </w:r>
    </w:p>
    <w:p w14:paraId="56517ED9">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基础表面中，放置垫铁的部位应凿平；</w:t>
      </w:r>
    </w:p>
    <w:p w14:paraId="36FED5BE">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设备采用调整螺钉，在调整螺钉下，基础表面应稳固地放置支承板（100*100），支承板下基础表面应凿平，支承板的厚度应大于螺钉直径；</w:t>
      </w:r>
    </w:p>
    <w:p w14:paraId="7E94A356">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精平设备时，采用找正时招标方指定测量基准面、线、点为检测面，精平设备使达到设备技术要求；</w:t>
      </w:r>
    </w:p>
    <w:p w14:paraId="10B9D1B9">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设备精平后，采用无收缩混凝土进行二次灌浆，待灌浆层强度达到75%时，复测设备精度，调整直至合格；</w:t>
      </w:r>
    </w:p>
    <w:p w14:paraId="2809D3CE">
      <w:pPr>
        <w:widowControl/>
        <w:numPr>
          <w:ilvl w:val="0"/>
          <w:numId w:val="5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气温低于4℃时，灌浆层应采取保护性措施。</w:t>
      </w:r>
    </w:p>
    <w:p w14:paraId="502324AE">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设备清洗</w:t>
      </w:r>
    </w:p>
    <w:p w14:paraId="32C6D483">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对需要装配的零、部件配合尺寸、配合面、滑动面，整体设备配合面、滑动面，安装检测基准面应进行复查清洗处理；</w:t>
      </w:r>
    </w:p>
    <w:p w14:paraId="54F165E9">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对需要解体运输的设备予以解体清洗时，应作出装配记录和标记；</w:t>
      </w:r>
    </w:p>
    <w:p w14:paraId="12D8D8D0">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清洗到货设备非油漆表面涂抹防护层采用溶剂油、煤油、乙醇进行擦洗；</w:t>
      </w:r>
    </w:p>
    <w:p w14:paraId="0BF867C6">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如装配面与运动接合面有锈蚀时，应进行除锈处理，采用粒度150号—240号砂布或细油石沾机械油擦拭，或用细研膏进行磨光；</w:t>
      </w:r>
    </w:p>
    <w:p w14:paraId="2A3A0F91">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清洗后表面应呈现金属光泽，重要接合面，导轨面用白布擦拭后，白布应无异物污染；</w:t>
      </w:r>
    </w:p>
    <w:p w14:paraId="6716D81A">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装配时被清洗的接合面涂抹洁净的机械油，对工期较长的设备安装，其裸露在外的运动面，导轨面应适时进行防锈办法，除抹黄干油或机械油；</w:t>
      </w:r>
    </w:p>
    <w:p w14:paraId="5881A444">
      <w:pPr>
        <w:widowControl/>
        <w:numPr>
          <w:ilvl w:val="0"/>
          <w:numId w:val="5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工程作业验收后，如招标方暂不使用，进行一次涂抹黄干油或机械油防锈。</w:t>
      </w:r>
    </w:p>
    <w:p w14:paraId="26DFA6C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设备工艺配管</w:t>
      </w:r>
    </w:p>
    <w:p w14:paraId="5B2C4F7B">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设备工艺配管指机组外冷水、循环水、气体管道连接；</w:t>
      </w:r>
    </w:p>
    <w:p w14:paraId="2D94ACE9">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管道配制依据设备技术文件或招标方签发的通知和作业现场公用动力管道系统实际情况，由甲乙双方核发方案；</w:t>
      </w:r>
    </w:p>
    <w:p w14:paraId="66F3BA86">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管道材料的选定：保持与设备原有管道相同材质，DN小于50毫米时用镀锌钢管丝扣连接，DN大于50毫米时用焊接钢管焊接连接；</w:t>
      </w:r>
    </w:p>
    <w:p w14:paraId="6DD0A03E">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螺纹连接管、管螺纹加工精度符合国际管螺纹规定，螺纹清洁、规整、无断丝，连接牢固，无焊接口；</w:t>
      </w:r>
    </w:p>
    <w:p w14:paraId="4A71B4B4">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焊接钢管时，焊口平直，焊缝表面无结瘤、夹渣和气孔，对有焊缝探伤检查要求的，应作焊缝探伤检查；</w:t>
      </w:r>
    </w:p>
    <w:p w14:paraId="0F431F79">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管道支（吊、托）架安装方式现场确定，并经招标方驻地代表认可，支架间距应符合规范；</w:t>
      </w:r>
    </w:p>
    <w:p w14:paraId="39D54B22">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气流管道坡度沿气体流动方向，向下倾斜，其坡度值大于10/1000毫米，润滑油，乳化液系统回油管道向油箱方向倾斜，坡度值大于12.5—25/1000毫米；</w:t>
      </w:r>
    </w:p>
    <w:p w14:paraId="02CF720E">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管路中阀门安装，其型号、规格、耐压强度和严密性试验结果，应符合技术要求和作业规范规定，位置、进出口方向正确，连接牢固、紧密，开启灵活；</w:t>
      </w:r>
    </w:p>
    <w:p w14:paraId="217BDD79">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管道的隐蔽与防腐，凡隐蔽工程经招标方代表认可签字后，方能进行隐蔽，隐蔽工程的防腐层应符合作业规范规定，防腐层采用清漆—玻璃布—沥清漆—玻璃布—沥清漆防腐层、防腐层与管材附着，粘贴牢固；</w:t>
      </w:r>
    </w:p>
    <w:p w14:paraId="3EFC2B51">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管道、支架涂漆采用两层防锈漆，两层面漆，漆色按规定要求选用，油漆为普通红丹防锈漆和调合漆，漆面附着良好，无脱皮、起泡、漏刷现象，漆膜厚度均匀，无流淌及污染现象；</w:t>
      </w:r>
    </w:p>
    <w:p w14:paraId="00998D23">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对于振动较大的设备与管道连接，在连接处加装避振软管</w:t>
      </w:r>
      <w:bookmarkStart w:id="69" w:name="_Toc3238"/>
      <w:r>
        <w:rPr>
          <w:rFonts w:hint="eastAsia" w:ascii="Times New Roman" w:hAnsi="Times New Roman" w:eastAsia="宋体" w:cs="Times New Roman"/>
          <w:sz w:val="24"/>
          <w:szCs w:val="20"/>
        </w:rPr>
        <w:t>。</w:t>
      </w:r>
    </w:p>
    <w:p w14:paraId="266E2955">
      <w:pPr>
        <w:widowControl/>
        <w:numPr>
          <w:ilvl w:val="0"/>
          <w:numId w:val="5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涉氢管路的连接需满足密封、清洁、可靠性、安全性试验相关要求。</w:t>
      </w:r>
    </w:p>
    <w:p w14:paraId="026AC9ED">
      <w:pPr>
        <w:widowControl/>
        <w:spacing w:line="360" w:lineRule="auto"/>
        <w:ind w:left="620"/>
        <w:jc w:val="left"/>
        <w:rPr>
          <w:rFonts w:ascii="Times New Roman" w:hAnsi="Times New Roman" w:eastAsia="宋体" w:cs="Times New Roman"/>
          <w:sz w:val="24"/>
          <w:szCs w:val="20"/>
        </w:rPr>
      </w:pPr>
      <w:bookmarkStart w:id="70" w:name="_Toc142725015"/>
      <w:r>
        <w:rPr>
          <w:rFonts w:hint="eastAsia" w:ascii="Times New Roman" w:hAnsi="Times New Roman" w:eastAsia="宋体" w:cs="Times New Roman"/>
          <w:sz w:val="24"/>
          <w:szCs w:val="20"/>
        </w:rPr>
        <w:t>设备的调试</w:t>
      </w:r>
      <w:bookmarkEnd w:id="69"/>
      <w:bookmarkEnd w:id="70"/>
    </w:p>
    <w:p w14:paraId="11DD34A7">
      <w:pPr>
        <w:widowControl/>
        <w:spacing w:line="360" w:lineRule="auto"/>
        <w:ind w:left="902"/>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试车的通用技术要求</w:t>
      </w:r>
    </w:p>
    <w:p w14:paraId="574D78AE">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流体介质途径管路及腔（箱）体均不能有跑、冒、滴、漏、渗等现象；</w:t>
      </w:r>
    </w:p>
    <w:p w14:paraId="323DADE2">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传动部分检查，运转部件应灵活，不应出现卡、塞、振、抖等现象，空转盘车时未级运转件转数不得少于1 周；</w:t>
      </w:r>
    </w:p>
    <w:p w14:paraId="224DACB3">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对于试车中需进行打压试验的设备，试验结束后应进行管道放空；</w:t>
      </w:r>
    </w:p>
    <w:p w14:paraId="2CDA4933">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安全制动系统必须动作灵敏，未级运转部件的制动转数或制动距离应满足设备安装使用技术文件之规定；</w:t>
      </w:r>
    </w:p>
    <w:p w14:paraId="1278BD5F">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电气元部件动作应灵敏可靠，不应有打火、漏电现象发生；</w:t>
      </w:r>
    </w:p>
    <w:p w14:paraId="77E8E9B4">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设备各主要承载、受压部位（如轴承、齿轮箱、电机等）的温度、噪音均不能超过设备出厂设计要求；</w:t>
      </w:r>
    </w:p>
    <w:p w14:paraId="57E6CD7E">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接地保护必须按照国家行业标准进行试验；</w:t>
      </w:r>
    </w:p>
    <w:p w14:paraId="1612F62B">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机台配线、布管、电气接线均应规范合理，不得有捆、拉、吊、绑现象；</w:t>
      </w:r>
    </w:p>
    <w:p w14:paraId="6A03C921">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通用部件安装的检查验收则按照有关标准执行；作业单位在对设备进行运输、起吊、安装及调试过程中如因投标方原因发生设备（或部件）损坏时，应视其情节轻重，按招标单位提出的要求进行责任赔偿，赔偿额度按商务部分执行；</w:t>
      </w:r>
    </w:p>
    <w:p w14:paraId="7FF24F73">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竣工资料要求齐全（包括各类变更及工图纸、安装记录、试车记录、材合格证件、购件质量证明等）；</w:t>
      </w:r>
    </w:p>
    <w:p w14:paraId="70C51660">
      <w:pPr>
        <w:widowControl/>
        <w:numPr>
          <w:ilvl w:val="0"/>
          <w:numId w:val="5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试车验收技术要求应依据《设备安装、调试使用说明书》和设备购置合同中的有关规定执行。</w:t>
      </w:r>
    </w:p>
    <w:p w14:paraId="4D7B590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试车程序</w:t>
      </w:r>
    </w:p>
    <w:p w14:paraId="317B2269">
      <w:pPr>
        <w:widowControl/>
        <w:spacing w:line="360" w:lineRule="auto"/>
        <w:ind w:left="482" w:firstLine="480" w:firstLineChars="200"/>
        <w:jc w:val="left"/>
        <w:rPr>
          <w:rFonts w:ascii="宋体" w:hAnsi="宋体" w:eastAsia="宋体" w:cs="宋体"/>
          <w:sz w:val="24"/>
          <w:szCs w:val="24"/>
        </w:rPr>
      </w:pPr>
      <w:r>
        <w:rPr>
          <w:rFonts w:hint="eastAsia" w:ascii="宋体" w:hAnsi="宋体" w:eastAsia="宋体" w:cs="宋体"/>
          <w:sz w:val="24"/>
          <w:szCs w:val="24"/>
        </w:rPr>
        <w:t>综合检查→单元（车）点动空试→单元（车）连续空试→系统联动空试→综合检查整改→负荷试车准备→系统负荷试车→竣工验收</w:t>
      </w:r>
    </w:p>
    <w:p w14:paraId="4548B0C6">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液压、气动系统的安装调试</w:t>
      </w:r>
    </w:p>
    <w:p w14:paraId="05D8475F">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液压、气动系统管路作业依据设备技术文件，排列、走向、坡度应做到正确合理；</w:t>
      </w:r>
    </w:p>
    <w:p w14:paraId="4ED53528">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液压、气动管路需要弯曲时，采用冷弯，作业前用压缩空气吹扫，必要时预以酸洗，保持脱脂；</w:t>
      </w:r>
    </w:p>
    <w:p w14:paraId="524B2F13">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液压系统管路需要焊接时，采用氩弧焊，需要探伤检查时，其抽查量应达到50%；</w:t>
      </w:r>
    </w:p>
    <w:p w14:paraId="08821CBB">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液压系统充油时，检查清洗度，按规格、品种及特性充油，并开启排气器排净空气；</w:t>
      </w:r>
    </w:p>
    <w:p w14:paraId="45993530">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系统进行压力试验，断开系统中马达，伺服阀比例阀、压力传感器、压力继电器，试压时，缓慢加压到试验压力，保持压力</w:t>
      </w:r>
      <w:r>
        <w:rPr>
          <w:rFonts w:hint="eastAsia" w:ascii="Times New Roman" w:hAnsi="Times New Roman" w:eastAsia="宋体" w:cs="Times New Roman"/>
          <w:sz w:val="24"/>
          <w:szCs w:val="20"/>
        </w:rPr>
        <w:tab/>
      </w:r>
      <w:r>
        <w:rPr>
          <w:rFonts w:hint="eastAsia" w:ascii="Times New Roman" w:hAnsi="Times New Roman" w:eastAsia="宋体" w:cs="Times New Roman"/>
          <w:sz w:val="24"/>
          <w:szCs w:val="20"/>
        </w:rPr>
        <w:t>10 分钟，检查有无压降，焊缝接口均有无渗漏；</w:t>
      </w:r>
    </w:p>
    <w:p w14:paraId="088AEB71">
      <w:pPr>
        <w:widowControl/>
        <w:numPr>
          <w:ilvl w:val="0"/>
          <w:numId w:val="5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开启液压泵或气源，调整系统中安全阀、保压阀、压力继电器等阀单元元件达到规定值，检查动作正确可靠度，并检查驱动件的行程和速度运行状况。</w:t>
      </w:r>
    </w:p>
    <w:p w14:paraId="040DCAB5">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试运行</w:t>
      </w:r>
    </w:p>
    <w:p w14:paraId="46D735B0">
      <w:pPr>
        <w:widowControl/>
        <w:numPr>
          <w:ilvl w:val="0"/>
          <w:numId w:val="5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单机运转在设备管路、电路全部作业完毕后进行；</w:t>
      </w:r>
    </w:p>
    <w:p w14:paraId="108FA935">
      <w:pPr>
        <w:widowControl/>
        <w:numPr>
          <w:ilvl w:val="0"/>
          <w:numId w:val="5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试运行周期一机一档，原则上不超过6个月</w:t>
      </w:r>
    </w:p>
    <w:p w14:paraId="74FC6D12">
      <w:pPr>
        <w:widowControl/>
        <w:numPr>
          <w:ilvl w:val="0"/>
          <w:numId w:val="5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设备管路试验、电路试验合格，并在作业记录、资料齐全后，书面通知招标方得到认可时，准备单机试验；</w:t>
      </w:r>
    </w:p>
    <w:p w14:paraId="1712A7CA">
      <w:pPr>
        <w:widowControl/>
        <w:numPr>
          <w:ilvl w:val="0"/>
          <w:numId w:val="5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单机试运行条件：</w:t>
      </w:r>
    </w:p>
    <w:p w14:paraId="4B3D0DB4">
      <w:pPr>
        <w:widowControl/>
        <w:numPr>
          <w:ilvl w:val="0"/>
          <w:numId w:val="60"/>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投标方提供需要的能源、介质、材料、工机具、检测仪器、安全防护设施及用具等，应符合设备正常运行需要，调试交付前设备所用耗材为全新状态。单机试运行后仍需的润滑油、油脂、乳化液、液压油等均由招标方提供；</w:t>
      </w:r>
    </w:p>
    <w:p w14:paraId="3FBB5300">
      <w:pPr>
        <w:widowControl/>
        <w:numPr>
          <w:ilvl w:val="0"/>
          <w:numId w:val="60"/>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清扫设备周边环境。</w:t>
      </w:r>
    </w:p>
    <w:p w14:paraId="424D7DCA">
      <w:pPr>
        <w:widowControl/>
        <w:numPr>
          <w:ilvl w:val="0"/>
          <w:numId w:val="5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设备试运行步骤</w:t>
      </w:r>
    </w:p>
    <w:p w14:paraId="3643B0EA">
      <w:pPr>
        <w:widowControl/>
        <w:numPr>
          <w:ilvl w:val="0"/>
          <w:numId w:val="61"/>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检查设备安装状况，设备的移动，转动部件其运动和平稳，手动盘车灵活、轻便、无阻滞现象，皮带张力应一致，合乎设备技术要求；</w:t>
      </w:r>
      <w:r>
        <w:rPr>
          <w:rFonts w:hint="eastAsia" w:ascii="宋体" w:hAnsi="宋体" w:eastAsia="宋体" w:cs="宋体"/>
          <w:sz w:val="24"/>
          <w:szCs w:val="24"/>
        </w:rPr>
        <w:tab/>
      </w:r>
    </w:p>
    <w:p w14:paraId="3663CB8C">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安全装置调整正确可靠，制动和锁紧机构调整合适；</w:t>
      </w:r>
    </w:p>
    <w:p w14:paraId="1C204C39">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安装精度符合设备技术要求；</w:t>
      </w:r>
    </w:p>
    <w:p w14:paraId="555F238E">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地脚螺栓均匀紧固，并与设备接触良好；</w:t>
      </w:r>
    </w:p>
    <w:p w14:paraId="0911800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电气（仪器）操纵控制系统及仪表的调整试验完毕（可另编作业方案）；</w:t>
      </w:r>
    </w:p>
    <w:p w14:paraId="5DD790DD">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润滑、液压、气冷却等系统的检查和调整达到设备技术文件要求，根据设备技术文件，对需润滑的部分充注润滑剂，并检验其洁净程度；</w:t>
      </w:r>
    </w:p>
    <w:p w14:paraId="4DAE2953">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润滑油、液化油、气、冷却液，应在单系统启动后，压力，油温、管路排气均达到设备技术文件规定；</w:t>
      </w:r>
    </w:p>
    <w:p w14:paraId="6ADF119A">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润滑、液压、气、冷却等系统阀件及机构动作调整应达到正确、可靠、灵敏，各系统工介质不得间断和泄露，保持规定的压力、温度、流量。</w:t>
      </w:r>
    </w:p>
    <w:p w14:paraId="682737E9">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在设备电气、管路、工作介质等系统调整检查合格后，进行机械和各系统联合调整试验；</w:t>
      </w:r>
    </w:p>
    <w:p w14:paraId="7B6F26BC">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联合调试由部件开始至组件、至单机、直至整机成套设备，按设备技术文件和操作程序进行；</w:t>
      </w:r>
    </w:p>
    <w:p w14:paraId="10D88E8C">
      <w:pPr>
        <w:widowControl/>
        <w:numPr>
          <w:ilvl w:val="0"/>
          <w:numId w:val="62"/>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调整往复运动部件行程，限位，观察整个行程运行情况，不应有振动，爬行和停滞现象；</w:t>
      </w:r>
    </w:p>
    <w:p w14:paraId="155940D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在主运动和进给速度各级速度下作运转试验观察启动，停止和制动，手动运行情况、 自动运行状况应无异常现象；</w:t>
      </w:r>
    </w:p>
    <w:p w14:paraId="103405B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系统空负荷试车，在进行机械和各系统联合调整试验合格后进行；</w:t>
      </w:r>
    </w:p>
    <w:p w14:paraId="6DDE6131">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空负荷试车按设备技术文件和国家标准进行；</w:t>
      </w:r>
    </w:p>
    <w:p w14:paraId="545487B4">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检查导轨接合面，润滑油等温升，其数值不应超过验收；</w:t>
      </w:r>
    </w:p>
    <w:p w14:paraId="64D2D7E7">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空负荷试车应有招标方代表在场，并作好试车记录；</w:t>
      </w:r>
    </w:p>
    <w:p w14:paraId="6A2CBB4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空负荷试车后切断电源和其它动力源，进行放气、排水及防锈涂油，复查设备安装几何精度，检查润滑油清洁度，必要时更换新油。</w:t>
      </w:r>
    </w:p>
    <w:p w14:paraId="777BE368">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设备的检测与测量：</w:t>
      </w:r>
    </w:p>
    <w:p w14:paraId="7A32D369">
      <w:pPr>
        <w:widowControl/>
        <w:numPr>
          <w:ilvl w:val="0"/>
          <w:numId w:val="63"/>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设备被检测面标高通过精密水准仪S—1（读数误差控制在0.03毫米内），从招标方提供基础标高；</w:t>
      </w:r>
    </w:p>
    <w:p w14:paraId="707D66F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设备平面位置由经纬仪从基准点引来；</w:t>
      </w:r>
    </w:p>
    <w:p w14:paraId="156F44C3">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设备基准面检测方法：</w:t>
      </w:r>
    </w:p>
    <w:p w14:paraId="6D92C8EB">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直线度测试：沿被测面方向，用框式水平仪，或精密水准仪等距离选择测量点全长至少 选取三个测量点分别测量读数，其偏差以读数最大代数差值计算；</w:t>
      </w:r>
    </w:p>
    <w:p w14:paraId="6E5CB4FC">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水平度测试，在被测量面中央或离边缘50毫米处四周选取测量点，用平尺、等高块或专用检测工具和框式水平仪测量，在互成90度两个方向测量，其偏差不得超过设备文件规定值；</w:t>
      </w:r>
    </w:p>
    <w:p w14:paraId="490C749C">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垂直度测试，用框式水平仪分别在被测面选取测量点，读取读数，或通过已被测量合格的水平面，用两个水平仪读数计算；</w:t>
      </w:r>
    </w:p>
    <w:p w14:paraId="62061915">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平面平行度测量：在两平面间用内径千分尺分别按设备形状选择测量点，其偏差为两次测量读数的最大代数差；</w:t>
      </w:r>
    </w:p>
    <w:p w14:paraId="73057A4C">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回转体中心轴线与移动件移动平行度检测，如图：测量应在测试芯棒互成90度两个方向测量，测量偏差为两个方向测量结果的代数和的一半；</w:t>
      </w:r>
    </w:p>
    <w:p w14:paraId="0D6A881D">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 xml:space="preserve">具备设备依照设备技术文件进行检测，或依照有关规范或会同招标方代表商议测量方法。 </w:t>
      </w:r>
      <w:bookmarkStart w:id="71" w:name="_Toc13289"/>
    </w:p>
    <w:bookmarkEnd w:id="48"/>
    <w:bookmarkEnd w:id="49"/>
    <w:bookmarkEnd w:id="50"/>
    <w:bookmarkEnd w:id="51"/>
    <w:bookmarkEnd w:id="71"/>
    <w:p w14:paraId="1313B4C9">
      <w:pPr>
        <w:widowControl/>
        <w:spacing w:line="360" w:lineRule="auto"/>
        <w:ind w:left="620"/>
        <w:jc w:val="left"/>
        <w:rPr>
          <w:rFonts w:ascii="Times New Roman" w:hAnsi="Times New Roman" w:eastAsia="宋体" w:cs="Times New Roman"/>
          <w:sz w:val="24"/>
          <w:szCs w:val="20"/>
        </w:rPr>
      </w:pPr>
      <w:bookmarkStart w:id="72" w:name="_Toc15367971"/>
      <w:bookmarkStart w:id="73" w:name="_Toc49525562"/>
      <w:bookmarkStart w:id="74" w:name="_Toc460445905"/>
      <w:bookmarkStart w:id="75" w:name="_Toc142725016"/>
      <w:bookmarkStart w:id="76" w:name="_Toc51682265"/>
      <w:r>
        <w:rPr>
          <w:rFonts w:hint="eastAsia" w:ascii="Times New Roman" w:hAnsi="Times New Roman" w:eastAsia="宋体" w:cs="Times New Roman"/>
          <w:sz w:val="24"/>
          <w:szCs w:val="20"/>
        </w:rPr>
        <w:t>安全生产及文明作业保证措施</w:t>
      </w:r>
      <w:bookmarkEnd w:id="72"/>
      <w:bookmarkEnd w:id="73"/>
      <w:bookmarkEnd w:id="74"/>
      <w:bookmarkEnd w:id="75"/>
      <w:bookmarkEnd w:id="76"/>
    </w:p>
    <w:p w14:paraId="3856F268">
      <w:pPr>
        <w:widowControl/>
        <w:numPr>
          <w:ilvl w:val="0"/>
          <w:numId w:val="6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为加强本工程安全生产、文明作业管理，保障作业从业人员的作业条件和生活环境，防止作业安全事故发生，投标方应根据《中华人民共和国安全生产法》、《中华人民共和国建筑法》、《建设工程安全生产管理条例》、《安全生产许可证条件》等法律法规要求，制定本工程的安全生产和文明作业目标。</w:t>
      </w:r>
    </w:p>
    <w:p w14:paraId="0DB18B17">
      <w:pPr>
        <w:widowControl/>
        <w:numPr>
          <w:ilvl w:val="0"/>
          <w:numId w:val="6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当根据现行标准规范，结合工程特点、工期进度和作业环境要求，在作业组织设计文件中制定相应的安全防护、文明作业措施，必须达到本项目所在市级安全生产文明作业标准化工地要求，争取创建并达到省级安全生产文明作业标准化工地要求。</w:t>
      </w:r>
    </w:p>
    <w:p w14:paraId="69392752">
      <w:pPr>
        <w:widowControl/>
        <w:adjustRightInd w:val="0"/>
        <w:spacing w:line="360" w:lineRule="auto"/>
        <w:ind w:firstLine="480" w:firstLineChars="200"/>
        <w:jc w:val="left"/>
        <w:textAlignment w:val="baseline"/>
        <w:rPr>
          <w:rFonts w:ascii="宋体" w:hAnsi="宋体" w:eastAsia="宋体" w:cs="宋体"/>
          <w:sz w:val="24"/>
          <w:szCs w:val="24"/>
        </w:rPr>
      </w:pPr>
      <w:r>
        <w:rPr>
          <w:rFonts w:ascii="宋体" w:hAnsi="宋体" w:eastAsia="宋体" w:cs="宋体"/>
          <w:sz w:val="24"/>
          <w:szCs w:val="24"/>
        </w:rPr>
        <w:br w:type="page"/>
      </w:r>
    </w:p>
    <w:p w14:paraId="6D0D60DC">
      <w:pPr>
        <w:pStyle w:val="3"/>
        <w:rPr>
          <w:lang w:val="zh-CN"/>
        </w:rPr>
      </w:pPr>
      <w:bookmarkStart w:id="77" w:name="_Toc142725018"/>
      <w:bookmarkStart w:id="78" w:name="_Toc200435295"/>
      <w:r>
        <w:rPr>
          <w:rFonts w:hint="eastAsia"/>
          <w:lang w:val="zh-CN"/>
        </w:rPr>
        <w:t>服务范围及服务方式</w:t>
      </w:r>
      <w:bookmarkEnd w:id="77"/>
      <w:bookmarkEnd w:id="78"/>
    </w:p>
    <w:p w14:paraId="60448808">
      <w:pPr>
        <w:keepNext/>
        <w:keepLines/>
        <w:widowControl/>
        <w:numPr>
          <w:ilvl w:val="0"/>
          <w:numId w:val="65"/>
        </w:numPr>
        <w:spacing w:line="360" w:lineRule="auto"/>
        <w:ind w:left="240" w:firstLine="482" w:firstLineChars="200"/>
        <w:jc w:val="center"/>
        <w:outlineLvl w:val="1"/>
        <w:rPr>
          <w:rFonts w:ascii="宋体" w:hAnsi="宋体" w:eastAsia="宋体" w:cs="宋体"/>
          <w:b/>
          <w:bCs/>
          <w:sz w:val="24"/>
          <w:szCs w:val="24"/>
          <w:lang w:val="zh-CN"/>
        </w:rPr>
      </w:pPr>
      <w:bookmarkStart w:id="79" w:name="_Toc465187643"/>
      <w:bookmarkStart w:id="80" w:name="_Toc142725019"/>
      <w:r>
        <w:rPr>
          <w:rFonts w:hint="eastAsia" w:ascii="宋体" w:hAnsi="宋体" w:eastAsia="宋体" w:cs="宋体"/>
          <w:b/>
          <w:bCs/>
          <w:sz w:val="24"/>
          <w:szCs w:val="24"/>
          <w:lang w:val="zh-CN"/>
        </w:rPr>
        <w:t>供货范围</w:t>
      </w:r>
      <w:bookmarkEnd w:id="79"/>
      <w:bookmarkEnd w:id="80"/>
    </w:p>
    <w:p w14:paraId="23BA8D8A">
      <w:pPr>
        <w:keepNext/>
        <w:keepLines/>
        <w:widowControl/>
        <w:numPr>
          <w:ilvl w:val="0"/>
          <w:numId w:val="6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1" w:name="_Toc142725020"/>
      <w:r>
        <w:rPr>
          <w:rFonts w:hint="eastAsia" w:ascii="Times New Roman" w:hAnsi="Times New Roman" w:eastAsia="宋体" w:cs="Times New Roman"/>
          <w:b/>
          <w:bCs/>
          <w:sz w:val="24"/>
          <w:szCs w:val="32"/>
          <w:lang w:val="zh-CN"/>
        </w:rPr>
        <w:t>供货范围</w:t>
      </w:r>
      <w:bookmarkEnd w:id="81"/>
    </w:p>
    <w:p w14:paraId="11AEFC9A">
      <w:pPr>
        <w:widowControl/>
        <w:spacing w:line="360" w:lineRule="auto"/>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一般界定</w:t>
      </w:r>
    </w:p>
    <w:p w14:paraId="41DA6053">
      <w:pPr>
        <w:widowControl/>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包括本技术标书所列明的主要货物/服务以及货物正常运行所必需的全套连线设备、材料等。</w:t>
      </w:r>
    </w:p>
    <w:p w14:paraId="51272AC6">
      <w:pPr>
        <w:widowControl/>
        <w:numPr>
          <w:ilvl w:val="0"/>
          <w:numId w:val="6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包括为保证货物正常安装、调试和验收完成及以前所必需的整套配件、附件及材料等。</w:t>
      </w:r>
    </w:p>
    <w:p w14:paraId="1AECCF4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如果验收完成后，投标方有需要收回的配件、附件、材料等，应当在技术协议中予以详细说明；否则视同包括在供货范围之内。</w:t>
      </w:r>
    </w:p>
    <w:p w14:paraId="3458649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包括货物维护维修所必需的专用工具。</w:t>
      </w:r>
    </w:p>
    <w:p w14:paraId="5F4CEFB5">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2C2717E3">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包括为保证货物自身正常运行所必需的、满足使用地点环境条件的通风、冷却、降温等必需设施。</w:t>
      </w:r>
    </w:p>
    <w:p w14:paraId="09BD497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如投标方难以提供或无优势提供以及属于选用配置的，则应当在本技术协议中予以详细说明并注明投标报价未包含该部分的货值。</w:t>
      </w:r>
    </w:p>
    <w:p w14:paraId="0DD6DE1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供货范围边界界定</w:t>
      </w:r>
    </w:p>
    <w:p w14:paraId="633FA7F7">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招标方提供货物所需的建筑物（如厂房等）和构筑物（如混凝土池、砼基础等）。</w:t>
      </w:r>
    </w:p>
    <w:p w14:paraId="727C4057">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提供符合本技术标书中“采购货物/服务概况”和“使用环境”章节所列明品质的电力、自来水、压缩空气、蒸汽、天然气（或煤气）管线至系统接口，如：系统电力接口的接线端，水、气、汽等外围管线端联接法兰外端面。</w:t>
      </w:r>
    </w:p>
    <w:p w14:paraId="1C33FAD8">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如果投标方认为能源系统接口地点以及操控地点之间的货物数量不清或难以界定，应当以书面方式询标或以单价方式报价；否则视同满足招标方要求。</w:t>
      </w:r>
    </w:p>
    <w:p w14:paraId="61A03E11">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提供：配合投标方对所搬迁设备进行实验测试，并记录设备状态及相关数据；按照设计院图纸要求配置配电柜，用于投标方设备的供电；合同签订后提供厂房平面图纸；协助投标方进行设备的调试；负责投标方货物到厂时提供储存、保管的场地；设备安装过程中临时水源、电源的供应，费用由招标方负责。</w:t>
      </w:r>
    </w:p>
    <w:p w14:paraId="74BC4BB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提供(包含但不局限于)：设备标记、动力及信号线缆标记、拆解、打包及零部件BOM清单规整；设备吊装、运输、就位；投标方完成配电柜到搬迁用电设备的供电电缆配置与连接；投标方完成搬迁设备内部的电缆配置与连接；投标方完成搬迁设备与控制系统间电缆及连接；投标方完成搬迁设备到招标方燃油预留口之间的管路配置与连接；投标方完成搬迁设备到招标方冷却水、压缩空气、氢气等预留口之间的管路配置与连接；投标方完成搬迁设备电缆桥架的配置与安装；投标方完成搬迁设备内部机械系统的安装、连接及调试。负责按装箱单对装箱物品的清点，并移交给招标方。负责进行设备开箱、就位、安装、调试等工作，直至交付招标方使用。负责备件、设备资料等清点工作，并移交给招标方。</w:t>
      </w:r>
    </w:p>
    <w:p w14:paraId="656C72A6">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以“交钥匙”方式采购的货物/服务，在满足技术标书本节上述要求之外，同时包括货物的运行使用所需要的过桥、护栏、防护网、盖板等辅助设施,以及在整个作业过程中的管道、电路的拆卸、改装、清理等工作，不产生报价外的其他费用。</w:t>
      </w:r>
    </w:p>
    <w:p w14:paraId="6B1E61AE">
      <w:pPr>
        <w:keepNext/>
        <w:keepLines/>
        <w:widowControl/>
        <w:numPr>
          <w:ilvl w:val="0"/>
          <w:numId w:val="6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2" w:name="_Toc142725021"/>
      <w:r>
        <w:rPr>
          <w:rFonts w:hint="eastAsia" w:ascii="Times New Roman" w:hAnsi="Times New Roman" w:eastAsia="宋体" w:cs="Times New Roman"/>
          <w:b/>
          <w:bCs/>
          <w:sz w:val="24"/>
          <w:szCs w:val="32"/>
          <w:lang w:val="zh-CN"/>
        </w:rPr>
        <w:t>备品备件、易损件和专用耗材供货范围</w:t>
      </w:r>
      <w:bookmarkEnd w:id="82"/>
    </w:p>
    <w:p w14:paraId="02EB19A5">
      <w:pPr>
        <w:widowControl/>
        <w:numPr>
          <w:ilvl w:val="0"/>
          <w:numId w:val="6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.备品备件、易损件和专用耗材是招标方为保证货物质保期之后正常运行一年所自备自用的备品备件、易损件和专用耗材。</w:t>
      </w:r>
    </w:p>
    <w:p w14:paraId="7A97254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质保期之内正常需要的备品备件、易损件和专用耗材全部包括在供货范围之内而不属于本条款界定的范围（应有明细）。</w:t>
      </w:r>
    </w:p>
    <w:p w14:paraId="062C0942">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.供货范围包括易损件和专用耗材的制造图纸及其技术要求等资料，如涉及专有技术或无法提供，应在本技术协议中予以澄清或说明。</w:t>
      </w:r>
    </w:p>
    <w:p w14:paraId="3531FC5D">
      <w:pPr>
        <w:keepNext/>
        <w:keepLines/>
        <w:widowControl/>
        <w:numPr>
          <w:ilvl w:val="0"/>
          <w:numId w:val="66"/>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3" w:name="_Toc142725022"/>
      <w:r>
        <w:rPr>
          <w:rFonts w:hint="eastAsia" w:ascii="Times New Roman" w:hAnsi="Times New Roman" w:eastAsia="宋体" w:cs="Times New Roman"/>
          <w:b/>
          <w:bCs/>
          <w:sz w:val="24"/>
          <w:szCs w:val="32"/>
          <w:lang w:val="zh-CN"/>
        </w:rPr>
        <w:t>技术资料供货范围</w:t>
      </w:r>
      <w:bookmarkEnd w:id="83"/>
    </w:p>
    <w:p w14:paraId="03F39E97">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技术资料是指所搬迁设备之外由投标方提供的技术资料(招标方原有设备的技术资料不包含在内)，供货范围包括：</w:t>
      </w:r>
    </w:p>
    <w:p w14:paraId="2BFACF24">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在合同签订后</w:t>
      </w:r>
      <w:r>
        <w:rPr>
          <w:rFonts w:hint="eastAsia" w:ascii="Times New Roman" w:hAnsi="Times New Roman" w:eastAsia="宋体" w:cs="Times New Roman"/>
          <w:sz w:val="24"/>
          <w:szCs w:val="20"/>
          <w:u w:val="single"/>
          <w:shd w:val="pct10" w:color="auto" w:fill="FFFFFF"/>
        </w:rPr>
        <w:t>30</w:t>
      </w:r>
      <w:r>
        <w:rPr>
          <w:rFonts w:hint="eastAsia" w:ascii="Times New Roman" w:hAnsi="Times New Roman" w:eastAsia="宋体" w:cs="Times New Roman"/>
          <w:sz w:val="24"/>
          <w:szCs w:val="20"/>
        </w:rPr>
        <w:t>个日历日内，提供货物基础及相关的设计、制作所需的纸质及电子版资料；电子版文件应当能够使用常用版本软件可以阅读甚至使用，进口货物、设备应有中外文对照。</w:t>
      </w:r>
    </w:p>
    <w:p w14:paraId="49D5D22C">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在验收前，提供为保证货物后续正常运行所需的工装、吊（挂）具明细及其图纸、具体技术要求等资料（如果供货范围包含该部分实物）。</w:t>
      </w:r>
    </w:p>
    <w:p w14:paraId="54C69F0E">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在验收前，提供确定的维修所需要且招标方可以自行采购的外购件、外协件、电气元件及主要原材料的供货厂家明细表。</w:t>
      </w:r>
    </w:p>
    <w:p w14:paraId="7BAB56A0">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在验收后的第一笔货款支付日之前，提供包括货物的备品备件、易损件和专用耗材的图纸及技术参数、技术要求等资料。</w:t>
      </w:r>
    </w:p>
    <w:p w14:paraId="3F196673">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E9200C7">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733EF72A">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本条款所列的技术资料、图片、影像等，投标方应各提供5套，其中2套为电子版光（软）盘；每份技术文件应装有目录清单。</w:t>
      </w:r>
    </w:p>
    <w:p w14:paraId="666FE5C7">
      <w:pPr>
        <w:widowControl/>
        <w:numPr>
          <w:ilvl w:val="0"/>
          <w:numId w:val="6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本条款所列要求，如招标方认为投标方提供的资料不能满足要求时，有权要求投标方免费补充或增加。</w:t>
      </w:r>
    </w:p>
    <w:p w14:paraId="7DF66E13">
      <w:pPr>
        <w:widowControl/>
        <w:spacing w:line="360" w:lineRule="auto"/>
        <w:ind w:firstLine="480" w:firstLineChars="200"/>
        <w:jc w:val="left"/>
        <w:rPr>
          <w:rFonts w:ascii="宋体" w:hAnsi="宋体" w:eastAsia="宋体" w:cs="宋体"/>
          <w:color w:val="000000"/>
          <w:sz w:val="24"/>
          <w:szCs w:val="24"/>
        </w:rPr>
      </w:pPr>
    </w:p>
    <w:p w14:paraId="1FEBF8F6">
      <w:pPr>
        <w:keepNext/>
        <w:keepLines/>
        <w:widowControl/>
        <w:numPr>
          <w:ilvl w:val="0"/>
          <w:numId w:val="65"/>
        </w:numPr>
        <w:spacing w:line="360" w:lineRule="auto"/>
        <w:ind w:left="240" w:firstLine="482" w:firstLineChars="200"/>
        <w:jc w:val="center"/>
        <w:outlineLvl w:val="1"/>
        <w:rPr>
          <w:rFonts w:ascii="宋体" w:hAnsi="宋体" w:eastAsia="宋体" w:cs="宋体"/>
          <w:b/>
          <w:bCs/>
          <w:sz w:val="24"/>
          <w:szCs w:val="24"/>
          <w:lang w:val="zh-CN"/>
        </w:rPr>
      </w:pPr>
      <w:bookmarkStart w:id="84" w:name="_Toc465187644"/>
      <w:bookmarkStart w:id="85" w:name="_Toc142725024"/>
      <w:r>
        <w:rPr>
          <w:rFonts w:hint="eastAsia" w:ascii="宋体" w:hAnsi="宋体" w:eastAsia="宋体" w:cs="宋体"/>
          <w:b/>
          <w:bCs/>
          <w:sz w:val="24"/>
          <w:szCs w:val="24"/>
          <w:lang w:val="zh-CN"/>
        </w:rPr>
        <w:t>供货方式</w:t>
      </w:r>
      <w:bookmarkEnd w:id="84"/>
      <w:bookmarkEnd w:id="85"/>
    </w:p>
    <w:p w14:paraId="6B47CB13">
      <w:pPr>
        <w:keepNext/>
        <w:keepLines/>
        <w:widowControl/>
        <w:numPr>
          <w:ilvl w:val="0"/>
          <w:numId w:val="7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6" w:name="_Toc142725025"/>
      <w:r>
        <w:rPr>
          <w:rFonts w:hint="eastAsia" w:ascii="Times New Roman" w:hAnsi="Times New Roman" w:eastAsia="宋体" w:cs="Times New Roman"/>
          <w:b/>
          <w:bCs/>
          <w:sz w:val="24"/>
          <w:szCs w:val="32"/>
          <w:lang w:val="zh-CN"/>
        </w:rPr>
        <w:t>供货方式</w:t>
      </w:r>
      <w:bookmarkEnd w:id="86"/>
    </w:p>
    <w:p w14:paraId="346BD9A3">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完全交钥匙方式，即本次招标货物/服务至少包括以下货物及服务：非标或特需设计，制造，至交货地点的运输（含定点装卸），安装，调试，招标方安装地竣工验收服务，货物移交，约定培训等全流程范围。</w:t>
      </w:r>
    </w:p>
    <w:p w14:paraId="27F94003">
      <w:pPr>
        <w:keepNext/>
        <w:keepLines/>
        <w:widowControl/>
        <w:numPr>
          <w:ilvl w:val="0"/>
          <w:numId w:val="7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7" w:name="_Toc142725026"/>
      <w:r>
        <w:rPr>
          <w:rFonts w:ascii="Times New Roman" w:hAnsi="Times New Roman" w:eastAsia="宋体" w:cs="Times New Roman"/>
          <w:b/>
          <w:bCs/>
          <w:sz w:val="24"/>
          <w:szCs w:val="32"/>
          <w:lang w:val="zh-CN"/>
        </w:rPr>
        <w:t>交</w:t>
      </w:r>
      <w:r>
        <w:rPr>
          <w:rFonts w:hint="eastAsia" w:ascii="Times New Roman" w:hAnsi="Times New Roman" w:eastAsia="宋体" w:cs="Times New Roman"/>
          <w:b/>
          <w:bCs/>
          <w:sz w:val="24"/>
          <w:szCs w:val="32"/>
          <w:lang w:val="zh-CN"/>
        </w:rPr>
        <w:t>货地点</w:t>
      </w:r>
      <w:bookmarkEnd w:id="87"/>
    </w:p>
    <w:p w14:paraId="154B04C7">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山东省济南市莱芜区</w:t>
      </w:r>
      <w:bookmarkStart w:id="88" w:name="_Toc142725027"/>
      <w:r>
        <w:rPr>
          <w:rFonts w:hint="eastAsia" w:ascii="宋体" w:hAnsi="宋体" w:eastAsia="宋体" w:cs="宋体"/>
          <w:color w:val="000000"/>
          <w:sz w:val="24"/>
          <w:szCs w:val="24"/>
        </w:rPr>
        <w:t>新能源产品试验检测中心项目基地</w:t>
      </w:r>
    </w:p>
    <w:p w14:paraId="215FC648">
      <w:pPr>
        <w:keepNext/>
        <w:keepLines/>
        <w:widowControl/>
        <w:numPr>
          <w:ilvl w:val="0"/>
          <w:numId w:val="70"/>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供货时间</w:t>
      </w:r>
      <w:bookmarkEnd w:id="88"/>
    </w:p>
    <w:p w14:paraId="10B561DF">
      <w:pPr>
        <w:widowControl/>
        <w:numPr>
          <w:ilvl w:val="0"/>
          <w:numId w:val="7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自招标方通知之日起，</w:t>
      </w:r>
      <w:r>
        <w:rPr>
          <w:rFonts w:ascii="Times New Roman" w:hAnsi="Times New Roman" w:eastAsia="宋体" w:cs="Times New Roman"/>
          <w:sz w:val="24"/>
          <w:szCs w:val="20"/>
          <w:u w:val="single"/>
          <w:shd w:val="pct10" w:color="auto" w:fill="FFFFFF"/>
        </w:rPr>
        <w:t>20</w:t>
      </w:r>
      <w:r>
        <w:rPr>
          <w:rFonts w:hint="eastAsia" w:ascii="Times New Roman" w:hAnsi="Times New Roman" w:eastAsia="宋体" w:cs="Times New Roman"/>
          <w:sz w:val="24"/>
          <w:szCs w:val="20"/>
        </w:rPr>
        <w:t>个日历日之内交货至供货地点。</w:t>
      </w:r>
    </w:p>
    <w:p w14:paraId="3752830A">
      <w:pPr>
        <w:widowControl/>
        <w:numPr>
          <w:ilvl w:val="0"/>
          <w:numId w:val="7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接续</w:t>
      </w:r>
      <w:r>
        <w:rPr>
          <w:rFonts w:ascii="Times New Roman" w:hAnsi="Times New Roman" w:eastAsia="宋体" w:cs="Times New Roman"/>
          <w:sz w:val="24"/>
          <w:szCs w:val="20"/>
          <w:u w:val="single"/>
          <w:shd w:val="pct10" w:color="auto" w:fill="FFFFFF"/>
        </w:rPr>
        <w:t>6</w:t>
      </w:r>
      <w:r>
        <w:rPr>
          <w:rFonts w:hint="eastAsia" w:ascii="Times New Roman" w:hAnsi="Times New Roman" w:eastAsia="宋体" w:cs="Times New Roman"/>
          <w:sz w:val="24"/>
          <w:szCs w:val="20"/>
          <w:u w:val="single"/>
          <w:shd w:val="pct10" w:color="auto" w:fill="FFFFFF"/>
        </w:rPr>
        <w:t>0</w:t>
      </w:r>
      <w:r>
        <w:rPr>
          <w:rFonts w:hint="eastAsia" w:ascii="Times New Roman" w:hAnsi="Times New Roman" w:eastAsia="宋体" w:cs="Times New Roman"/>
          <w:sz w:val="24"/>
          <w:szCs w:val="20"/>
        </w:rPr>
        <w:t>个日历日之内安装调试（或指导安装调试）完毕。</w:t>
      </w:r>
    </w:p>
    <w:p w14:paraId="1ED5BC78">
      <w:pPr>
        <w:widowControl/>
        <w:numPr>
          <w:ilvl w:val="0"/>
          <w:numId w:val="7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验收在</w:t>
      </w:r>
      <w:r>
        <w:rPr>
          <w:rFonts w:ascii="Times New Roman" w:hAnsi="Times New Roman" w:eastAsia="宋体" w:cs="Times New Roman"/>
          <w:sz w:val="24"/>
          <w:szCs w:val="20"/>
          <w:u w:val="single"/>
          <w:shd w:val="pct10" w:color="auto" w:fill="FFFFFF"/>
        </w:rPr>
        <w:t>3</w:t>
      </w:r>
      <w:r>
        <w:rPr>
          <w:rFonts w:hint="eastAsia" w:ascii="Times New Roman" w:hAnsi="Times New Roman" w:eastAsia="宋体" w:cs="Times New Roman"/>
          <w:sz w:val="24"/>
          <w:szCs w:val="20"/>
          <w:u w:val="single"/>
          <w:shd w:val="pct10" w:color="auto" w:fill="FFFFFF"/>
        </w:rPr>
        <w:t>0</w:t>
      </w:r>
      <w:r>
        <w:rPr>
          <w:rFonts w:hint="eastAsia" w:ascii="Times New Roman" w:hAnsi="Times New Roman" w:eastAsia="宋体" w:cs="Times New Roman"/>
          <w:sz w:val="24"/>
          <w:szCs w:val="20"/>
        </w:rPr>
        <w:t>个日历日之内完成（或协助完成）。</w:t>
      </w:r>
    </w:p>
    <w:p w14:paraId="73FBDC5E">
      <w:pPr>
        <w:widowControl/>
        <w:spacing w:line="360" w:lineRule="auto"/>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安装调试工期超过</w:t>
      </w:r>
      <w:r>
        <w:rPr>
          <w:rFonts w:ascii="宋体" w:hAnsi="宋体" w:eastAsia="宋体" w:cs="宋体"/>
          <w:color w:val="000000"/>
          <w:sz w:val="24"/>
          <w:szCs w:val="24"/>
        </w:rPr>
        <w:t>3</w:t>
      </w:r>
      <w:r>
        <w:rPr>
          <w:rFonts w:hint="eastAsia" w:ascii="宋体" w:hAnsi="宋体" w:eastAsia="宋体" w:cs="宋体"/>
          <w:color w:val="000000"/>
          <w:sz w:val="24"/>
          <w:szCs w:val="24"/>
        </w:rPr>
        <w:t>0个日历日的，投标方应当随标书提供详细的工期计划。</w:t>
      </w:r>
    </w:p>
    <w:p w14:paraId="16566094">
      <w:pPr>
        <w:keepNext/>
        <w:keepLines/>
        <w:widowControl/>
        <w:numPr>
          <w:ilvl w:val="0"/>
          <w:numId w:val="7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89" w:name="_Toc142725028"/>
      <w:r>
        <w:rPr>
          <w:rFonts w:hint="eastAsia" w:ascii="Times New Roman" w:hAnsi="Times New Roman" w:eastAsia="宋体" w:cs="Times New Roman"/>
          <w:b/>
          <w:bCs/>
          <w:sz w:val="24"/>
          <w:szCs w:val="32"/>
          <w:lang w:val="zh-CN"/>
        </w:rPr>
        <w:t>包装</w:t>
      </w:r>
      <w:bookmarkEnd w:id="89"/>
    </w:p>
    <w:p w14:paraId="05291646">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所提供货物的包装，应遵照国家标准和有关包装、包皮的技术条件，或按照最好的商业惯例进行包装。</w:t>
      </w:r>
    </w:p>
    <w:p w14:paraId="233AB9BB">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包装应能满足所需要采取的运输方式（船运、汽运或铁路运输）、多次吊装卸装、卸货以及长期露天堆放要求，应能防止雨淋、受潮、生锈、腐蚀、受振、受磁以及机械和化学因素等引起的损坏。</w:t>
      </w:r>
    </w:p>
    <w:p w14:paraId="3A9A6949">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所提供货物的包装，应能防止其一般性被窃或受外力破坏；一般不得采用有大缝隙的板条包装。</w:t>
      </w:r>
    </w:p>
    <w:p w14:paraId="2F1FABCE">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应对包装件做必要的加固和固定，以防止运输可能造成的损坏。</w:t>
      </w:r>
    </w:p>
    <w:p w14:paraId="5EC34BD8">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每个包装件应有装箱单，并至少标明名称、型号规格、数量、净重和毛重、投标方（或供货商）名称和制造日期等相关内容。</w:t>
      </w:r>
    </w:p>
    <w:p w14:paraId="3F9F137F">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每个包装箱应有明显标志，并具有中文书写的合同号、装运标志、发货和到货地点名称、发货人和收货人名称、货物名称和项目号、箱号和外型尺寸等内容。</w:t>
      </w:r>
    </w:p>
    <w:p w14:paraId="73EAEAC2">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应按照不同的装运要求在包装箱上标明“小心轻放”、“箭头向上”、“防潮”、“防磁”、“不准平放”等标志，以及其它适用的国标通用标志。</w:t>
      </w:r>
    </w:p>
    <w:p w14:paraId="18865798">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包装箱应连续编号，不应出现重复编号。</w:t>
      </w:r>
    </w:p>
    <w:p w14:paraId="19EEC097">
      <w:pPr>
        <w:widowControl/>
        <w:numPr>
          <w:ilvl w:val="0"/>
          <w:numId w:val="7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在不受到外界破坏情况下，包装应保证自交货日起一年内货物完好无损。</w:t>
      </w:r>
    </w:p>
    <w:p w14:paraId="61A27952">
      <w:pPr>
        <w:keepNext/>
        <w:keepLines/>
        <w:widowControl/>
        <w:numPr>
          <w:ilvl w:val="0"/>
          <w:numId w:val="70"/>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运输</w:t>
      </w:r>
    </w:p>
    <w:p w14:paraId="207E3BEC">
      <w:pPr>
        <w:widowControl/>
        <w:numPr>
          <w:ilvl w:val="0"/>
          <w:numId w:val="7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应负责将货物运到目的地，并必须做到货物在任何运输过程中不受损坏和遗失。</w:t>
      </w:r>
    </w:p>
    <w:p w14:paraId="322ACF24">
      <w:pPr>
        <w:widowControl/>
        <w:numPr>
          <w:ilvl w:val="0"/>
          <w:numId w:val="7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同批货物应统一包装、编号运输。</w:t>
      </w:r>
    </w:p>
    <w:p w14:paraId="4EC96EDE">
      <w:pPr>
        <w:widowControl/>
        <w:numPr>
          <w:ilvl w:val="0"/>
          <w:numId w:val="7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一般情况下，经由铁路、公路运输的包装件尺寸和重量不应超过国家所规定的尺寸限制。特殊情况应予以说明。</w:t>
      </w:r>
    </w:p>
    <w:p w14:paraId="49E65D2A">
      <w:pPr>
        <w:widowControl/>
        <w:numPr>
          <w:ilvl w:val="0"/>
          <w:numId w:val="7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在每批货物发出后，应立即通知招标方；通知中应指明：合同号、货运单号、件数、重量和货物发出日期等相关内容。</w:t>
      </w:r>
    </w:p>
    <w:p w14:paraId="4A458B75">
      <w:pPr>
        <w:widowControl/>
        <w:numPr>
          <w:ilvl w:val="0"/>
          <w:numId w:val="7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货物运抵交货地点后，应负责货物的卸货、搬运、保管等事宜；或按照合同约定。</w:t>
      </w:r>
    </w:p>
    <w:p w14:paraId="3934D008">
      <w:pPr>
        <w:pStyle w:val="3"/>
        <w:rPr>
          <w:lang w:val="zh-CN"/>
        </w:rPr>
      </w:pPr>
      <w:bookmarkStart w:id="90" w:name="_Toc142725029"/>
      <w:r>
        <w:rPr>
          <w:rFonts w:hint="eastAsia"/>
          <w:lang w:val="zh-CN"/>
        </w:rPr>
        <w:t xml:space="preserve"> </w:t>
      </w:r>
      <w:bookmarkStart w:id="91" w:name="_Toc200435296"/>
      <w:r>
        <w:rPr>
          <w:rFonts w:hint="eastAsia"/>
          <w:lang w:val="zh-CN"/>
        </w:rPr>
        <w:t>质保期及售后服务</w:t>
      </w:r>
      <w:bookmarkEnd w:id="90"/>
      <w:bookmarkEnd w:id="91"/>
    </w:p>
    <w:p w14:paraId="47D8B094">
      <w:pPr>
        <w:keepNext/>
        <w:keepLines/>
        <w:widowControl/>
        <w:numPr>
          <w:ilvl w:val="0"/>
          <w:numId w:val="74"/>
        </w:numPr>
        <w:spacing w:line="360" w:lineRule="auto"/>
        <w:ind w:firstLine="482" w:firstLineChars="200"/>
        <w:jc w:val="center"/>
        <w:outlineLvl w:val="1"/>
        <w:rPr>
          <w:rFonts w:ascii="宋体" w:hAnsi="宋体" w:eastAsia="宋体" w:cs="宋体"/>
          <w:b/>
          <w:bCs/>
          <w:sz w:val="24"/>
          <w:szCs w:val="24"/>
          <w:lang w:val="zh-CN"/>
        </w:rPr>
      </w:pPr>
      <w:bookmarkStart w:id="92" w:name="_Toc142725030"/>
      <w:r>
        <w:rPr>
          <w:rFonts w:hint="eastAsia" w:ascii="宋体" w:hAnsi="宋体" w:eastAsia="宋体" w:cs="宋体"/>
          <w:b/>
          <w:bCs/>
          <w:sz w:val="24"/>
          <w:szCs w:val="24"/>
          <w:lang w:val="zh-CN"/>
        </w:rPr>
        <w:t>质保期及质保要求</w:t>
      </w:r>
      <w:bookmarkEnd w:id="92"/>
    </w:p>
    <w:p w14:paraId="294319BC">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设备搬迁过程中更换的材料、管路、施工，除合同特别约定外，其质保期均自验收签字生效之日起</w:t>
      </w:r>
      <w:r>
        <w:rPr>
          <w:rFonts w:hint="eastAsia" w:ascii="Times New Roman" w:hAnsi="Times New Roman" w:eastAsia="宋体" w:cs="Times New Roman"/>
          <w:sz w:val="24"/>
          <w:szCs w:val="20"/>
          <w:u w:val="single"/>
          <w:shd w:val="pct10" w:color="auto" w:fill="FFFFFF"/>
        </w:rPr>
        <w:t>12</w:t>
      </w:r>
      <w:r>
        <w:rPr>
          <w:rFonts w:hint="eastAsia" w:ascii="Times New Roman" w:hAnsi="Times New Roman" w:eastAsia="宋体" w:cs="Times New Roman"/>
          <w:sz w:val="24"/>
          <w:szCs w:val="20"/>
        </w:rPr>
        <w:t>个月。</w:t>
      </w:r>
    </w:p>
    <w:p w14:paraId="78D37109">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投标货物或涉及的关键总成和零件，如果有更长时间质保期，允许更改并说明，此将有利于投标方。</w:t>
      </w:r>
    </w:p>
    <w:p w14:paraId="09AC629D">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设计使用寿命短于质保期的易损件除外，但属于易损件的，应当有明确说明。</w:t>
      </w:r>
    </w:p>
    <w:p w14:paraId="2D443212">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质保期之内，如所供货物出现设备、总成、关键零部件或者多处一般零部件的二次以上的更换或维修行为，则质保期自更换或维修行为结束、货物重新正常运行使用之日起重新计算。</w:t>
      </w:r>
    </w:p>
    <w:p w14:paraId="5DE50F60">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质保期内免费提供零部件和及时有效的服务。质保期内因货物本身缺陷造成的各种故障，投标方应负责免费维修和服务。</w:t>
      </w:r>
    </w:p>
    <w:p w14:paraId="7B85BF84">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质保期终止之日起一年内重复出现的质保期之内出现的故障，仍属质保范围而且应当免费。</w:t>
      </w:r>
    </w:p>
    <w:p w14:paraId="2E07B1DA">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质量保证期满后，投标方保证向招标方提供及时的、质优的、价格优惠的技术服务和备品备件供应。</w:t>
      </w:r>
    </w:p>
    <w:p w14:paraId="39842E19">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质量保证期满后，如出现质量问题，投标方也应及时修复和更换，且只收取成本费，费用由招标方承担，投标方对设备质量问题所负的责任直到设备使用寿命周期结束。</w:t>
      </w:r>
    </w:p>
    <w:p w14:paraId="2920F82C">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严格按照合同要求，向招标方提供符合设计标准、质量合格的工程。</w:t>
      </w:r>
      <w:bookmarkStart w:id="93" w:name="_Toc322596892"/>
      <w:bookmarkStart w:id="94" w:name="_Toc450569856"/>
      <w:bookmarkStart w:id="95" w:name="_Toc322595517"/>
      <w:bookmarkStart w:id="96" w:name="_Toc322614008"/>
      <w:r>
        <w:rPr>
          <w:rFonts w:hint="eastAsia" w:ascii="Times New Roman" w:hAnsi="Times New Roman" w:eastAsia="宋体" w:cs="Times New Roman"/>
          <w:sz w:val="24"/>
          <w:szCs w:val="20"/>
        </w:rPr>
        <w:t>质量保证期不含投标方对其设备的排故时间，即在质量保证期内由投标方原因导致的故障，质量保证期顺延；设备的重要部件在质量保证期间因发生故障进行更换，则此部件从更换时间重新开始计算质保期。</w:t>
      </w:r>
      <w:bookmarkEnd w:id="93"/>
      <w:bookmarkEnd w:id="94"/>
      <w:bookmarkEnd w:id="95"/>
      <w:bookmarkEnd w:id="96"/>
    </w:p>
    <w:p w14:paraId="649D9328">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严格检查和控制进场的材料、设备的质量。投标方提供的所有材料和设备均应为原搬迁设备，符合国家有关</w:t>
      </w:r>
      <w:r>
        <w:fldChar w:fldCharType="begin"/>
      </w:r>
      <w:r>
        <w:instrText xml:space="preserve"> HYPERLINK "http://www.so.com/s?q=%E8%B4%A8%E9%87%8F%E6%A0%87%E5%87%86&amp;ie=utf-8&amp;src=wenda_link" \t "_blank" </w:instrText>
      </w:r>
      <w:r>
        <w:fldChar w:fldCharType="separate"/>
      </w:r>
      <w:r>
        <w:rPr>
          <w:rFonts w:hint="eastAsia" w:ascii="Times New Roman" w:hAnsi="Times New Roman" w:eastAsia="宋体" w:cs="Times New Roman"/>
          <w:sz w:val="24"/>
          <w:szCs w:val="20"/>
        </w:rPr>
        <w:t>质量标准</w:t>
      </w:r>
      <w:r>
        <w:rPr>
          <w:rFonts w:hint="eastAsia" w:ascii="Times New Roman" w:hAnsi="Times New Roman" w:eastAsia="宋体" w:cs="Times New Roman"/>
          <w:sz w:val="24"/>
          <w:szCs w:val="20"/>
        </w:rPr>
        <w:fldChar w:fldCharType="end"/>
      </w:r>
      <w:r>
        <w:rPr>
          <w:rFonts w:hint="eastAsia" w:ascii="Times New Roman" w:hAnsi="Times New Roman" w:eastAsia="宋体" w:cs="Times New Roman"/>
          <w:sz w:val="24"/>
          <w:szCs w:val="20"/>
        </w:rPr>
        <w:t>的产品，并经招标方认可。</w:t>
      </w:r>
    </w:p>
    <w:p w14:paraId="4E470F6E">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对作业过程中出现的质量缺陷投标方及时向招标方通报，不隐瞒。若作业质量超过合同规定的标准，投标方无条件拆除重新作业。在安装、调试和试运行过程中，出现的质量问题，先处理问题，再分清责任，一切以满足工程进度需要为准则。</w:t>
      </w:r>
    </w:p>
    <w:p w14:paraId="60905DE4">
      <w:pPr>
        <w:widowControl/>
        <w:numPr>
          <w:ilvl w:val="0"/>
          <w:numId w:val="7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在工程的作业、调试过程中以及今后在运行中发现的质量问题，投标方应承担全部责任。</w:t>
      </w:r>
    </w:p>
    <w:p w14:paraId="7AEF0CFD">
      <w:pPr>
        <w:widowControl/>
        <w:adjustRightInd w:val="0"/>
        <w:snapToGrid w:val="0"/>
        <w:spacing w:line="420" w:lineRule="exact"/>
        <w:ind w:firstLine="480" w:firstLineChars="200"/>
        <w:jc w:val="left"/>
        <w:rPr>
          <w:rFonts w:ascii="宋体" w:hAnsi="宋体" w:eastAsia="宋体" w:cs="宋体"/>
          <w:color w:val="000000"/>
          <w:sz w:val="24"/>
          <w:szCs w:val="24"/>
        </w:rPr>
      </w:pPr>
    </w:p>
    <w:p w14:paraId="6068A740">
      <w:pPr>
        <w:keepNext/>
        <w:keepLines/>
        <w:widowControl/>
        <w:numPr>
          <w:ilvl w:val="0"/>
          <w:numId w:val="74"/>
        </w:numPr>
        <w:spacing w:line="360" w:lineRule="auto"/>
        <w:ind w:firstLine="482" w:firstLineChars="200"/>
        <w:jc w:val="center"/>
        <w:outlineLvl w:val="1"/>
        <w:rPr>
          <w:rFonts w:ascii="宋体" w:hAnsi="宋体" w:eastAsia="宋体" w:cs="宋体"/>
          <w:b/>
          <w:bCs/>
          <w:sz w:val="24"/>
          <w:szCs w:val="24"/>
          <w:lang w:val="zh-CN"/>
        </w:rPr>
      </w:pPr>
      <w:bookmarkStart w:id="97" w:name="_Toc142725031"/>
      <w:r>
        <w:rPr>
          <w:rFonts w:hint="eastAsia" w:ascii="宋体" w:hAnsi="宋体" w:eastAsia="宋体" w:cs="宋体"/>
          <w:b/>
          <w:bCs/>
          <w:sz w:val="24"/>
          <w:szCs w:val="24"/>
          <w:lang w:val="zh-CN"/>
        </w:rPr>
        <w:t>技术及培训服务</w:t>
      </w:r>
      <w:bookmarkEnd w:id="97"/>
    </w:p>
    <w:p w14:paraId="42BAA06F">
      <w:pPr>
        <w:widowControl/>
        <w:numPr>
          <w:ilvl w:val="0"/>
          <w:numId w:val="7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该项目为设备搬迁，暂未涉及技术培训服务。</w:t>
      </w:r>
    </w:p>
    <w:p w14:paraId="0990756C">
      <w:pPr>
        <w:widowControl/>
        <w:spacing w:line="360" w:lineRule="auto"/>
        <w:ind w:left="480" w:firstLine="480" w:firstLineChars="200"/>
        <w:jc w:val="left"/>
        <w:rPr>
          <w:rFonts w:ascii="Times New Roman" w:hAnsi="Times New Roman" w:eastAsia="宋体" w:cs="Times New Roman"/>
          <w:sz w:val="24"/>
          <w:szCs w:val="20"/>
        </w:rPr>
      </w:pPr>
    </w:p>
    <w:p w14:paraId="7FCBF633">
      <w:pPr>
        <w:keepNext/>
        <w:keepLines/>
        <w:widowControl/>
        <w:numPr>
          <w:ilvl w:val="0"/>
          <w:numId w:val="74"/>
        </w:numPr>
        <w:spacing w:line="360" w:lineRule="auto"/>
        <w:ind w:firstLine="482" w:firstLineChars="200"/>
        <w:jc w:val="center"/>
        <w:outlineLvl w:val="1"/>
        <w:rPr>
          <w:rFonts w:ascii="宋体" w:hAnsi="宋体" w:eastAsia="宋体" w:cs="宋体"/>
          <w:b/>
          <w:bCs/>
          <w:sz w:val="24"/>
          <w:szCs w:val="24"/>
          <w:lang w:val="zh-CN"/>
        </w:rPr>
      </w:pPr>
      <w:bookmarkStart w:id="98" w:name="_Toc142725032"/>
      <w:r>
        <w:rPr>
          <w:rFonts w:hint="eastAsia" w:ascii="宋体" w:hAnsi="宋体" w:eastAsia="宋体" w:cs="宋体"/>
          <w:b/>
          <w:bCs/>
          <w:sz w:val="24"/>
          <w:szCs w:val="24"/>
          <w:lang w:val="zh-CN"/>
        </w:rPr>
        <w:t>安装调试及验收服务</w:t>
      </w:r>
      <w:bookmarkEnd w:id="98"/>
    </w:p>
    <w:p w14:paraId="385286D9">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指导安装调试或负责安装调试以及协助验收，投标方均应在本技术协议中明确其收费额或免费约定，否则视同免费；安装调试及验收服务均应按照合同约定或协议、通知及时组织并完成。因投标方原因造成的延期，所发生的费用全部由投标方承担。</w:t>
      </w:r>
    </w:p>
    <w:p w14:paraId="2ADE12E9">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若投标方提供的货物涉及到外购外协货物、而且该货物的技术质量等较为关键时，应保证能得到供应商的技术支持，并免费为招标方提供安装使用现场的指导与培训。</w:t>
      </w:r>
    </w:p>
    <w:p w14:paraId="4866F740">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招标方将积极协助投标方达到货物的各项技术指标和性能要求。投标方在招标方现场进行的货物的安装、调试和试运行，招标方有权参与，投标方应无条件向招标方提供现场记录和试运行数据及报告。</w:t>
      </w:r>
    </w:p>
    <w:p w14:paraId="3D0C6D45">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投标方所提供货物需要得到招标方建设项目所在地政府或行业主管部门的查验、试验、验收时，投标方应当免费完成或协助招标方完成所需要的工作、材料和服务等。协助完成的，应当在本技术协议报价内容中予以说明，否则视同免费。</w:t>
      </w:r>
    </w:p>
    <w:p w14:paraId="48CB82EF">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投标方应当向招标方提供货物试验、验收的有关标准、规范和方法，同时提供货物涉及并使用的软件合法性证明。</w:t>
      </w:r>
    </w:p>
    <w:p w14:paraId="38505AF8">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服务缺陷视同货物缺陷和履约延期。</w:t>
      </w:r>
    </w:p>
    <w:p w14:paraId="6D4A5137">
      <w:pPr>
        <w:widowControl/>
        <w:numPr>
          <w:ilvl w:val="0"/>
          <w:numId w:val="7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验收标准：搬迁后设备运行状态及精度不低于搬迁前设备运行状态及精度，所有设备功能满足正常试验检测需求。</w:t>
      </w:r>
    </w:p>
    <w:p w14:paraId="65C7EC93">
      <w:pPr>
        <w:keepNext/>
        <w:keepLines/>
        <w:widowControl/>
        <w:numPr>
          <w:ilvl w:val="0"/>
          <w:numId w:val="74"/>
        </w:numPr>
        <w:spacing w:line="360" w:lineRule="auto"/>
        <w:ind w:firstLine="482" w:firstLineChars="200"/>
        <w:jc w:val="center"/>
        <w:outlineLvl w:val="1"/>
        <w:rPr>
          <w:rFonts w:ascii="宋体" w:hAnsi="宋体" w:eastAsia="宋体" w:cs="宋体"/>
          <w:b/>
          <w:bCs/>
          <w:sz w:val="24"/>
          <w:szCs w:val="24"/>
          <w:lang w:val="zh-CN"/>
        </w:rPr>
      </w:pPr>
      <w:bookmarkStart w:id="99" w:name="_Toc142725033"/>
      <w:r>
        <w:rPr>
          <w:rFonts w:hint="eastAsia" w:ascii="宋体" w:hAnsi="宋体" w:eastAsia="宋体" w:cs="宋体"/>
          <w:b/>
          <w:bCs/>
          <w:sz w:val="24"/>
          <w:szCs w:val="24"/>
          <w:lang w:val="zh-CN"/>
        </w:rPr>
        <w:t>售后服务</w:t>
      </w:r>
      <w:bookmarkEnd w:id="99"/>
    </w:p>
    <w:p w14:paraId="590CBCD0">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投标方提供的货物/服务涉及的所有售后服务均由投标方负责。如果发生问题并且收到通知，投标方应当在2小时内予以答复。</w:t>
      </w:r>
    </w:p>
    <w:p w14:paraId="3030525D">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如发现所提供的货物存在问题，需要投标方解决或配合解决时：在质保期之内，应在接到通知后</w:t>
      </w:r>
      <w:r>
        <w:rPr>
          <w:rFonts w:hint="eastAsia" w:ascii="Times New Roman" w:hAnsi="Times New Roman" w:eastAsia="宋体" w:cs="Times New Roman"/>
          <w:sz w:val="24"/>
          <w:szCs w:val="20"/>
          <w:u w:val="single"/>
          <w:shd w:val="pct10" w:color="auto" w:fill="FFFFFF"/>
        </w:rPr>
        <w:t>4</w:t>
      </w:r>
      <w:r>
        <w:rPr>
          <w:rFonts w:hint="eastAsia" w:ascii="Times New Roman" w:hAnsi="Times New Roman" w:eastAsia="宋体" w:cs="Times New Roman"/>
          <w:sz w:val="24"/>
          <w:szCs w:val="20"/>
        </w:rPr>
        <w:t>小时内上门提供免费技术支持（不限于电话、远程 、邮件、视频等方式）；在质保期之外，应在接到通知后</w:t>
      </w:r>
      <w:r>
        <w:rPr>
          <w:rFonts w:hint="eastAsia" w:ascii="Times New Roman" w:hAnsi="Times New Roman" w:eastAsia="宋体" w:cs="Times New Roman"/>
          <w:sz w:val="24"/>
          <w:szCs w:val="20"/>
          <w:u w:val="single"/>
          <w:shd w:val="pct10" w:color="auto" w:fill="FFFFFF"/>
        </w:rPr>
        <w:t>12</w:t>
      </w:r>
      <w:r>
        <w:rPr>
          <w:rFonts w:hint="eastAsia" w:ascii="Times New Roman" w:hAnsi="Times New Roman" w:eastAsia="宋体" w:cs="Times New Roman"/>
          <w:sz w:val="24"/>
          <w:szCs w:val="20"/>
        </w:rPr>
        <w:t>小时内上门提供免费技术支持（不限于电话、远程 、邮件、视频等方式）。</w:t>
      </w:r>
    </w:p>
    <w:p w14:paraId="598FEC62">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投标方派往招标方使用现场的人员，应具有较高的业务素质；现场解决问题时，不得无故拖延或推迟，应为招标方提供最佳的服务。</w:t>
      </w:r>
    </w:p>
    <w:p w14:paraId="757765F7">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投标方及时向招标方提供按合同规定的全部技术资料和图纸 ,无条件配合招标方的相关工程检查、验收工作。</w:t>
      </w:r>
    </w:p>
    <w:p w14:paraId="23F6C58E">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 xml:space="preserve">严格执行供需双方就有关问题召开会议的纪要或签订的协议。 </w:t>
      </w:r>
    </w:p>
    <w:p w14:paraId="5F043769">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 xml:space="preserve">按合同规定投标方为招标方举办有关工程的调试、使用、维护技术的业务培训班。  </w:t>
      </w:r>
    </w:p>
    <w:p w14:paraId="126B2FB3">
      <w:pPr>
        <w:widowControl/>
        <w:numPr>
          <w:ilvl w:val="0"/>
          <w:numId w:val="7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质量保证期内所有保修服务方式均为上门保修，即由投标方派员到用户使用现场维修。由此产生的一切费用均由投标方承担。</w:t>
      </w:r>
    </w:p>
    <w:p w14:paraId="15E123E9">
      <w:pPr>
        <w:keepNext/>
        <w:keepLines/>
        <w:widowControl/>
        <w:numPr>
          <w:ilvl w:val="0"/>
          <w:numId w:val="74"/>
        </w:numPr>
        <w:spacing w:line="360" w:lineRule="auto"/>
        <w:ind w:firstLine="482" w:firstLineChars="200"/>
        <w:jc w:val="center"/>
        <w:outlineLvl w:val="1"/>
        <w:rPr>
          <w:rFonts w:ascii="宋体" w:hAnsi="宋体" w:eastAsia="宋体" w:cs="宋体"/>
          <w:b/>
          <w:bCs/>
          <w:sz w:val="24"/>
          <w:szCs w:val="24"/>
          <w:lang w:val="zh-CN"/>
        </w:rPr>
      </w:pPr>
      <w:bookmarkStart w:id="100" w:name="_Toc142725034"/>
      <w:r>
        <w:rPr>
          <w:rFonts w:hint="eastAsia" w:ascii="宋体" w:hAnsi="宋体" w:eastAsia="宋体" w:cs="宋体"/>
          <w:b/>
          <w:bCs/>
          <w:sz w:val="24"/>
          <w:szCs w:val="24"/>
          <w:lang w:val="zh-CN"/>
        </w:rPr>
        <w:t>其它服务</w:t>
      </w:r>
      <w:bookmarkEnd w:id="100"/>
    </w:p>
    <w:p w14:paraId="0BA00C7D">
      <w:pPr>
        <w:widowControl/>
        <w:numPr>
          <w:ilvl w:val="0"/>
          <w:numId w:val="7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若投标方所提供货物有需要进口的，投标方一般应自行、自费办理；必要时，买卖双方共同办理。</w:t>
      </w:r>
    </w:p>
    <w:p w14:paraId="22F6CF14">
      <w:pPr>
        <w:widowControl/>
        <w:numPr>
          <w:ilvl w:val="0"/>
          <w:numId w:val="7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除招标文件、本技术协议、答疑文件、合同等约定之外，投标方应免费负责必要的或强制性的货物的检验、试验、化验等直接费用。</w:t>
      </w:r>
    </w:p>
    <w:p w14:paraId="4339BF9B">
      <w:pPr>
        <w:widowControl/>
        <w:numPr>
          <w:ilvl w:val="0"/>
          <w:numId w:val="79"/>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本章节条款所列“免费”，并非指定不可收费，而是指招标文件、本技术协议、答疑文件、技术交流文件、技术协议书和合同等范围之外，投标方不可另行收取的费用。</w:t>
      </w:r>
    </w:p>
    <w:p w14:paraId="38E8C14A">
      <w:pPr>
        <w:widowControl/>
        <w:spacing w:line="360" w:lineRule="auto"/>
        <w:ind w:left="480" w:firstLine="480" w:firstLineChars="200"/>
        <w:jc w:val="left"/>
        <w:rPr>
          <w:rFonts w:ascii="宋体" w:hAnsi="宋体" w:eastAsia="宋体" w:cs="宋体"/>
          <w:b/>
          <w:kern w:val="44"/>
          <w:sz w:val="24"/>
          <w:szCs w:val="24"/>
        </w:rPr>
      </w:pPr>
      <w:r>
        <w:rPr>
          <w:rFonts w:hint="eastAsia" w:ascii="宋体" w:hAnsi="宋体" w:eastAsia="宋体" w:cs="宋体"/>
          <w:sz w:val="24"/>
          <w:szCs w:val="24"/>
        </w:rPr>
        <w:br w:type="page"/>
      </w:r>
    </w:p>
    <w:p w14:paraId="33077AEA">
      <w:pPr>
        <w:pStyle w:val="3"/>
        <w:rPr>
          <w:lang w:val="zh-CN"/>
        </w:rPr>
      </w:pPr>
      <w:bookmarkStart w:id="101" w:name="_Toc142725035"/>
      <w:bookmarkStart w:id="102" w:name="_Toc200435297"/>
      <w:r>
        <w:rPr>
          <w:rFonts w:hint="eastAsia"/>
          <w:lang w:val="zh-CN"/>
        </w:rPr>
        <w:t xml:space="preserve"> 验收</w:t>
      </w:r>
      <w:bookmarkEnd w:id="101"/>
      <w:bookmarkEnd w:id="102"/>
    </w:p>
    <w:p w14:paraId="55FC790D">
      <w:pPr>
        <w:keepNext/>
        <w:keepLines/>
        <w:widowControl/>
        <w:numPr>
          <w:ilvl w:val="0"/>
          <w:numId w:val="8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103" w:name="_Toc142725036"/>
      <w:r>
        <w:rPr>
          <w:rFonts w:hint="eastAsia" w:ascii="Times New Roman" w:hAnsi="Times New Roman" w:eastAsia="宋体" w:cs="Times New Roman"/>
          <w:b/>
          <w:bCs/>
          <w:sz w:val="24"/>
          <w:szCs w:val="32"/>
          <w:lang w:val="zh-CN"/>
        </w:rPr>
        <w:t>验收依据和验收标准</w:t>
      </w:r>
      <w:bookmarkEnd w:id="103"/>
    </w:p>
    <w:p w14:paraId="4F46428F">
      <w:pPr>
        <w:widowControl/>
        <w:numPr>
          <w:ilvl w:val="0"/>
          <w:numId w:val="8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验收标准一般以技术协议书和合同规定验收。无论技术协议书和合同，是全部并准确列明验收所涉及的相关标准，均作为验收标准之一。</w:t>
      </w:r>
    </w:p>
    <w:p w14:paraId="17949455">
      <w:pPr>
        <w:widowControl/>
        <w:numPr>
          <w:ilvl w:val="0"/>
          <w:numId w:val="8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如果验收过程中，发现招标文件、本技术协议、答疑文件、技术交流文件等与技术协议书、合同存在差异，原则上以涉及条款中对招标方最有利条款为验收依据。</w:t>
      </w:r>
    </w:p>
    <w:p w14:paraId="209F622A">
      <w:pPr>
        <w:widowControl/>
        <w:numPr>
          <w:ilvl w:val="0"/>
          <w:numId w:val="81"/>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验收标准：搬迁后设备运行状态及精度不低于搬迁前设备运行状态及精度，所有设备功能满足正常试验检测需求。</w:t>
      </w:r>
    </w:p>
    <w:p w14:paraId="08E18632">
      <w:pPr>
        <w:keepNext/>
        <w:keepLines/>
        <w:widowControl/>
        <w:numPr>
          <w:ilvl w:val="0"/>
          <w:numId w:val="8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104" w:name="_Toc142725037"/>
      <w:r>
        <w:rPr>
          <w:rFonts w:hint="eastAsia" w:ascii="Times New Roman" w:hAnsi="Times New Roman" w:eastAsia="宋体" w:cs="Times New Roman"/>
          <w:b/>
          <w:bCs/>
          <w:sz w:val="24"/>
          <w:szCs w:val="32"/>
          <w:lang w:val="zh-CN"/>
        </w:rPr>
        <w:t>检验</w:t>
      </w:r>
      <w:bookmarkEnd w:id="104"/>
    </w:p>
    <w:p w14:paraId="4293AC7D">
      <w:pPr>
        <w:widowControl/>
        <w:numPr>
          <w:ilvl w:val="0"/>
          <w:numId w:val="8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如果采购货物涉及必要的或必需的检验，投标方应当在本技术协议中明确可能涉及的检验费用，并将该费用包含在投标总报价之内；不作针对性澄清或说明的，视同包含在投标总价之内。基本约定如下：</w:t>
      </w:r>
    </w:p>
    <w:p w14:paraId="04A21CDD">
      <w:pPr>
        <w:widowControl/>
        <w:numPr>
          <w:ilvl w:val="0"/>
          <w:numId w:val="8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货物的检验一般由买卖双方共同进行或按照合同要求进行。</w:t>
      </w:r>
    </w:p>
    <w:p w14:paraId="058331B0">
      <w:pPr>
        <w:keepNext/>
        <w:keepLines/>
        <w:widowControl/>
        <w:numPr>
          <w:ilvl w:val="0"/>
          <w:numId w:val="80"/>
        </w:numPr>
        <w:spacing w:line="360" w:lineRule="auto"/>
        <w:ind w:left="420" w:firstLine="482" w:firstLineChars="200"/>
        <w:jc w:val="left"/>
        <w:outlineLvl w:val="2"/>
        <w:rPr>
          <w:rFonts w:ascii="Times New Roman" w:hAnsi="Times New Roman" w:eastAsia="宋体" w:cs="Times New Roman"/>
          <w:b/>
          <w:bCs/>
          <w:sz w:val="24"/>
          <w:szCs w:val="32"/>
          <w:lang w:val="zh-CN"/>
        </w:rPr>
      </w:pPr>
      <w:bookmarkStart w:id="105" w:name="_Toc142725038"/>
      <w:r>
        <w:rPr>
          <w:rFonts w:hint="eastAsia" w:ascii="Times New Roman" w:hAnsi="Times New Roman" w:eastAsia="宋体" w:cs="Times New Roman"/>
          <w:b/>
          <w:bCs/>
          <w:sz w:val="24"/>
          <w:szCs w:val="32"/>
          <w:lang w:val="zh-CN"/>
        </w:rPr>
        <w:t>验收基本条件</w:t>
      </w:r>
      <w:bookmarkEnd w:id="105"/>
    </w:p>
    <w:p w14:paraId="73C4293C">
      <w:pPr>
        <w:widowControl/>
        <w:adjustRightInd w:val="0"/>
        <w:snapToGrid w:val="0"/>
        <w:spacing w:line="420" w:lineRule="exact"/>
        <w:ind w:firstLine="480" w:firstLineChars="200"/>
        <w:jc w:val="left"/>
        <w:rPr>
          <w:rFonts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买卖双方按照合同约定执行了合同，同时货物/服务完成了不超过</w:t>
      </w:r>
      <w:r>
        <w:rPr>
          <w:rFonts w:ascii="宋体" w:hAnsi="宋体" w:eastAsia="宋体" w:cs="宋体"/>
          <w:color w:val="000000"/>
          <w:sz w:val="24"/>
          <w:szCs w:val="24"/>
          <w:u w:val="single"/>
        </w:rPr>
        <w:t>1</w:t>
      </w:r>
      <w:r>
        <w:rPr>
          <w:rFonts w:hint="eastAsia" w:ascii="宋体" w:hAnsi="宋体" w:eastAsia="宋体" w:cs="宋体"/>
          <w:color w:val="000000"/>
          <w:sz w:val="24"/>
          <w:szCs w:val="24"/>
        </w:rPr>
        <w:t>个月的试运行并经检验合格，则具备验收条件。</w:t>
      </w:r>
    </w:p>
    <w:p w14:paraId="43F10E81">
      <w:pPr>
        <w:widowControl/>
        <w:numPr>
          <w:ilvl w:val="0"/>
          <w:numId w:val="8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验收一般条件(机械部分</w:t>
      </w:r>
      <w:r>
        <w:rPr>
          <w:rFonts w:ascii="Times New Roman" w:hAnsi="Times New Roman" w:eastAsia="宋体" w:cs="Times New Roman"/>
          <w:sz w:val="24"/>
          <w:szCs w:val="20"/>
        </w:rPr>
        <w:t>)</w:t>
      </w:r>
    </w:p>
    <w:p w14:paraId="34315850">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检查所有设备能够正常工作；</w:t>
      </w:r>
    </w:p>
    <w:p w14:paraId="0D16B0DF">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确认各机械件工作状态正常。</w:t>
      </w:r>
    </w:p>
    <w:p w14:paraId="36DADBF3">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清扫灰尘，更换滤棉</w:t>
      </w:r>
    </w:p>
    <w:p w14:paraId="20895DCE">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检查所有电磁阀及手阀能正常工作</w:t>
      </w:r>
    </w:p>
    <w:p w14:paraId="36ABC64D">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检查确认管路及阀门无漏水、漏气问题</w:t>
      </w:r>
    </w:p>
    <w:p w14:paraId="66ED9FF6">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检查确认各部分的破损、老化程度，维修或更换受损部分</w:t>
      </w:r>
    </w:p>
    <w:p w14:paraId="6D3D85EB">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检查所有电气连接，确认紧固无松动</w:t>
      </w:r>
    </w:p>
    <w:p w14:paraId="0810179F">
      <w:pPr>
        <w:widowControl/>
        <w:numPr>
          <w:ilvl w:val="0"/>
          <w:numId w:val="84"/>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检查确认各传感器及精密零部件可精准工作并对异常情况进行处理</w:t>
      </w:r>
    </w:p>
    <w:p w14:paraId="1EDA9654">
      <w:pPr>
        <w:widowControl/>
        <w:numPr>
          <w:ilvl w:val="0"/>
          <w:numId w:val="8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验收一般条件(软件部分</w:t>
      </w:r>
      <w:r>
        <w:rPr>
          <w:rFonts w:ascii="Times New Roman" w:hAnsi="Times New Roman" w:eastAsia="宋体" w:cs="Times New Roman"/>
          <w:sz w:val="24"/>
          <w:szCs w:val="20"/>
        </w:rPr>
        <w:t>)</w:t>
      </w:r>
    </w:p>
    <w:p w14:paraId="2DF878E6">
      <w:pPr>
        <w:widowControl/>
        <w:numPr>
          <w:ilvl w:val="0"/>
          <w:numId w:val="85"/>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确认上位机能正常接收到温度、压力、振幅、频率等信息且示数正常、稳定可控</w:t>
      </w:r>
    </w:p>
    <w:p w14:paraId="135DD752">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确认上位机与负载通讯正常，与被试件通讯正常；</w:t>
      </w:r>
    </w:p>
    <w:p w14:paraId="41E0C5E5">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检查各部分的报警报错情况并处理；</w:t>
      </w:r>
    </w:p>
    <w:p w14:paraId="6F45DB47">
      <w:pPr>
        <w:widowControl/>
        <w:numPr>
          <w:ilvl w:val="0"/>
          <w:numId w:val="8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验收一般条件(施工部分</w:t>
      </w:r>
      <w:r>
        <w:rPr>
          <w:rFonts w:ascii="Times New Roman" w:hAnsi="Times New Roman" w:eastAsia="宋体" w:cs="Times New Roman"/>
          <w:sz w:val="24"/>
          <w:szCs w:val="20"/>
        </w:rPr>
        <w:t>)</w:t>
      </w:r>
    </w:p>
    <w:p w14:paraId="7466062C">
      <w:pPr>
        <w:widowControl/>
        <w:numPr>
          <w:ilvl w:val="0"/>
          <w:numId w:val="86"/>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线路符合相关标准要求、管路走向规整，水电分离。符合招标方现场安全和整洁要求。</w:t>
      </w:r>
    </w:p>
    <w:p w14:paraId="5FF7D1D7">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验收一般条件(运行部分</w:t>
      </w:r>
      <w:r>
        <w:rPr>
          <w:rFonts w:ascii="Times New Roman" w:hAnsi="Times New Roman" w:eastAsia="宋体" w:cs="Times New Roman"/>
          <w:sz w:val="24"/>
          <w:szCs w:val="20"/>
        </w:rPr>
        <w:t>)</w:t>
      </w:r>
    </w:p>
    <w:p w14:paraId="61DC132B">
      <w:pPr>
        <w:widowControl/>
        <w:numPr>
          <w:ilvl w:val="0"/>
          <w:numId w:val="8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 xml:space="preserve"> 货物允许情况下，一般先连续空运转 8 小时，然后再进行负荷运行（无需进行空载运行的除外）。</w:t>
      </w:r>
    </w:p>
    <w:p w14:paraId="1C238CEA">
      <w:pPr>
        <w:widowControl/>
        <w:numPr>
          <w:ilvl w:val="0"/>
          <w:numId w:val="8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 xml:space="preserve"> 负荷运行时，货物应连续运行30天，每天连续8小时或长时间连续运行120小时。</w:t>
      </w:r>
    </w:p>
    <w:p w14:paraId="0203418D">
      <w:pPr>
        <w:widowControl/>
        <w:numPr>
          <w:ilvl w:val="0"/>
          <w:numId w:val="8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检查设备不出现漏液、漏水、漏气等；</w:t>
      </w:r>
    </w:p>
    <w:p w14:paraId="09123F46">
      <w:pPr>
        <w:widowControl/>
        <w:numPr>
          <w:ilvl w:val="0"/>
          <w:numId w:val="8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检查设备不存在异响、抖动等异常现象。</w:t>
      </w:r>
    </w:p>
    <w:p w14:paraId="02042ACB">
      <w:pPr>
        <w:widowControl/>
        <w:spacing w:line="360" w:lineRule="auto"/>
        <w:ind w:left="62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出现下列问题之一，视作验收失败：</w:t>
      </w:r>
    </w:p>
    <w:p w14:paraId="7B1E44BC">
      <w:pPr>
        <w:widowControl/>
        <w:numPr>
          <w:ilvl w:val="0"/>
          <w:numId w:val="88"/>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在整个验收过程中发生关键零部件损坏或重大故障；</w:t>
      </w:r>
    </w:p>
    <w:p w14:paraId="5EE36575">
      <w:pPr>
        <w:widowControl/>
        <w:numPr>
          <w:ilvl w:val="0"/>
          <w:numId w:val="89"/>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一般性故障超过</w:t>
      </w:r>
      <w:r>
        <w:rPr>
          <w:rFonts w:hint="eastAsia" w:ascii="宋体" w:hAnsi="宋体" w:eastAsia="宋体" w:cs="宋体"/>
          <w:sz w:val="24"/>
          <w:szCs w:val="24"/>
          <w:u w:val="single"/>
        </w:rPr>
        <w:t xml:space="preserve"> 2 </w:t>
      </w:r>
      <w:r>
        <w:rPr>
          <w:rFonts w:hint="eastAsia" w:ascii="宋体" w:hAnsi="宋体" w:eastAsia="宋体" w:cs="宋体"/>
          <w:sz w:val="24"/>
          <w:szCs w:val="24"/>
        </w:rPr>
        <w:t>次；</w:t>
      </w:r>
    </w:p>
    <w:p w14:paraId="4770066F">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所有出现的维修调整，每次时间均不超过</w:t>
      </w:r>
      <w:r>
        <w:rPr>
          <w:rFonts w:hint="eastAsia" w:ascii="宋体" w:hAnsi="宋体" w:eastAsia="宋体" w:cs="宋体"/>
          <w:sz w:val="24"/>
          <w:szCs w:val="24"/>
          <w:u w:val="single"/>
        </w:rPr>
        <w:t xml:space="preserve"> 90 </w:t>
      </w:r>
      <w:r>
        <w:rPr>
          <w:rFonts w:hint="eastAsia" w:ascii="宋体" w:hAnsi="宋体" w:eastAsia="宋体" w:cs="宋体"/>
          <w:sz w:val="24"/>
          <w:szCs w:val="24"/>
        </w:rPr>
        <w:t>分钟；所有维修调整时间的总和不超过总运行时间的</w:t>
      </w:r>
      <w:r>
        <w:rPr>
          <w:rFonts w:hint="eastAsia" w:ascii="宋体" w:hAnsi="宋体" w:eastAsia="宋体" w:cs="宋体"/>
          <w:sz w:val="24"/>
          <w:szCs w:val="24"/>
          <w:u w:val="single"/>
        </w:rPr>
        <w:t xml:space="preserve"> 5 </w:t>
      </w:r>
      <w:r>
        <w:rPr>
          <w:rFonts w:hint="eastAsia" w:ascii="宋体" w:hAnsi="宋体" w:eastAsia="宋体" w:cs="宋体"/>
          <w:sz w:val="24"/>
          <w:szCs w:val="24"/>
        </w:rPr>
        <w:t>%；</w:t>
      </w:r>
    </w:p>
    <w:p w14:paraId="6D181304">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更换的零部件货值不超过总货值的</w:t>
      </w:r>
      <w:r>
        <w:rPr>
          <w:rFonts w:hint="eastAsia" w:ascii="宋体" w:hAnsi="宋体" w:eastAsia="宋体" w:cs="宋体"/>
          <w:sz w:val="24"/>
          <w:szCs w:val="24"/>
          <w:u w:val="single"/>
        </w:rPr>
        <w:t xml:space="preserve"> 3 </w:t>
      </w:r>
      <w:r>
        <w:rPr>
          <w:rFonts w:hint="eastAsia" w:ascii="宋体" w:hAnsi="宋体" w:eastAsia="宋体" w:cs="宋体"/>
          <w:sz w:val="24"/>
          <w:szCs w:val="24"/>
        </w:rPr>
        <w:t>%。</w:t>
      </w:r>
    </w:p>
    <w:p w14:paraId="660440B5">
      <w:pPr>
        <w:widowControl/>
        <w:spacing w:line="360" w:lineRule="auto"/>
        <w:ind w:left="1134" w:firstLine="240" w:firstLineChars="100"/>
        <w:jc w:val="left"/>
        <w:rPr>
          <w:rFonts w:ascii="宋体" w:hAnsi="宋体" w:eastAsia="宋体" w:cs="宋体"/>
          <w:sz w:val="24"/>
          <w:szCs w:val="24"/>
        </w:rPr>
      </w:pPr>
      <w:r>
        <w:rPr>
          <w:rFonts w:hint="eastAsia" w:ascii="宋体" w:hAnsi="宋体" w:eastAsia="宋体" w:cs="宋体"/>
          <w:sz w:val="24"/>
          <w:szCs w:val="24"/>
        </w:rPr>
        <w:t>累计负载运行实际性能（或生产率）达到合同规定；</w:t>
      </w:r>
    </w:p>
    <w:p w14:paraId="4C6A7D01">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验收原则上要求一次完成。若一次验收不成功，最多允许两次；如果出现第三次验收失败，重新作价或退货；</w:t>
      </w:r>
    </w:p>
    <w:p w14:paraId="2827043E">
      <w:pPr>
        <w:widowControl/>
        <w:spacing w:line="360" w:lineRule="auto"/>
        <w:ind w:left="9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验收通过后双方共同签署验收报告，并移交、核对全部供货范围内物品。</w:t>
      </w:r>
    </w:p>
    <w:p w14:paraId="58ABED2D">
      <w:pPr>
        <w:widowControl/>
        <w:spacing w:line="360" w:lineRule="auto"/>
        <w:ind w:left="480" w:firstLine="480" w:firstLineChars="200"/>
        <w:jc w:val="left"/>
        <w:rPr>
          <w:rFonts w:ascii="宋体" w:hAnsi="宋体" w:eastAsia="宋体" w:cs="宋体"/>
          <w:sz w:val="24"/>
          <w:szCs w:val="20"/>
          <w:lang w:bidi="ar"/>
        </w:rPr>
      </w:pPr>
      <w:bookmarkStart w:id="106" w:name="_Toc283814116"/>
      <w:r>
        <w:rPr>
          <w:rFonts w:hint="eastAsia" w:ascii="宋体" w:hAnsi="宋体" w:eastAsia="宋体" w:cs="宋体"/>
          <w:sz w:val="24"/>
          <w:szCs w:val="20"/>
          <w:lang w:bidi="ar"/>
        </w:rPr>
        <w:br w:type="page"/>
      </w:r>
      <w:bookmarkEnd w:id="106"/>
    </w:p>
    <w:p w14:paraId="2A5C7EFA">
      <w:pPr>
        <w:keepNext/>
        <w:keepLines/>
        <w:spacing w:line="360" w:lineRule="auto"/>
        <w:ind w:firstLine="562"/>
        <w:jc w:val="center"/>
        <w:outlineLvl w:val="1"/>
        <w:rPr>
          <w:rFonts w:eastAsia="宋体"/>
          <w:b/>
          <w:iCs/>
          <w:kern w:val="44"/>
          <w:sz w:val="28"/>
          <w:szCs w:val="24"/>
        </w:rPr>
      </w:pPr>
      <w:bookmarkStart w:id="107" w:name="_Toc465187647"/>
      <w:r>
        <w:rPr>
          <w:rFonts w:eastAsia="宋体"/>
          <w:b/>
          <w:iCs/>
          <w:kern w:val="44"/>
          <w:sz w:val="28"/>
          <w:szCs w:val="24"/>
        </w:rPr>
        <w:t>第六章  投标技术文件一般要求</w:t>
      </w:r>
      <w:bookmarkEnd w:id="107"/>
    </w:p>
    <w:p w14:paraId="2C76C7DD">
      <w:pPr>
        <w:keepNext/>
        <w:keepLines/>
        <w:widowControl/>
        <w:numPr>
          <w:ilvl w:val="0"/>
          <w:numId w:val="90"/>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ascii="Times New Roman" w:hAnsi="Times New Roman" w:eastAsia="宋体" w:cs="Times New Roman"/>
          <w:b/>
          <w:bCs/>
          <w:sz w:val="24"/>
          <w:szCs w:val="32"/>
          <w:lang w:val="zh-CN"/>
        </w:rPr>
        <w:t>技术文件一般内容要求</w:t>
      </w:r>
    </w:p>
    <w:p w14:paraId="375D6187">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投标方应认真阅读招标文件和本技术标书，并按要求编写投标技术文件。</w:t>
      </w:r>
    </w:p>
    <w:p w14:paraId="14B17B5F">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投标技术文件至少应对投标货物的功能用途、技术性能、质量标准、技术参数等作出详细说明。</w:t>
      </w:r>
    </w:p>
    <w:p w14:paraId="26034262">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投标技术文件至少应根据投标货物的关键设备、总成、零部件或系统作出满足或优于招标文件要求的详细说明。</w:t>
      </w:r>
    </w:p>
    <w:p w14:paraId="29BCEBFE">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投标技术文件至少应按照招标文件要求（或投标方建议）列明备品备件、易损件和专用耗材明细。</w:t>
      </w:r>
    </w:p>
    <w:p w14:paraId="2ECC2B76">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投标方应当而且必须分别说明所列备品备件、易损件和专用耗材的使用寿命（以有效工作小时数说明）。</w:t>
      </w:r>
    </w:p>
    <w:p w14:paraId="18298023">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投标的货物，应当根据其配置和备品备件、易损件、专用耗材情况，尽可能详细且分类填入下表。</w:t>
      </w:r>
    </w:p>
    <w:p w14:paraId="622D7932">
      <w:pPr>
        <w:widowControl/>
        <w:adjustRightInd w:val="0"/>
        <w:snapToGrid w:val="0"/>
        <w:spacing w:line="360" w:lineRule="auto"/>
        <w:ind w:firstLine="480" w:firstLineChars="200"/>
        <w:jc w:val="left"/>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sz w:val="24"/>
          <w:szCs w:val="24"/>
        </w:rPr>
        <w:t>6.1</w:t>
      </w:r>
      <w:r>
        <w:rPr>
          <w:rFonts w:hint="eastAsia" w:ascii="宋体" w:hAnsi="宋体" w:eastAsia="宋体" w:cs="宋体"/>
          <w:color w:val="000000" w:themeColor="text1"/>
          <w:sz w:val="24"/>
          <w:szCs w:val="24"/>
          <w14:textFill>
            <w14:solidFill>
              <w14:schemeClr w14:val="tx1"/>
            </w14:solidFill>
          </w14:textFill>
        </w:rPr>
        <w:t>备品备件、易损件和专用耗材明细表：</w:t>
      </w:r>
    </w:p>
    <w:p w14:paraId="23D4B6EE">
      <w:pPr>
        <w:widowControl/>
        <w:adjustRightInd w:val="0"/>
        <w:snapToGrid w:val="0"/>
        <w:spacing w:line="360" w:lineRule="auto"/>
        <w:ind w:firstLine="480" w:firstLineChars="200"/>
        <w:jc w:val="center"/>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0"/>
          <w14:textFill>
            <w14:solidFill>
              <w14:schemeClr w14:val="tx1"/>
            </w14:solidFill>
          </w14:textFill>
        </w:rPr>
        <w:t>表7 备品备件、易损件和专用耗材明细表             单位：元</w:t>
      </w:r>
    </w:p>
    <w:tbl>
      <w:tblPr>
        <w:tblStyle w:val="45"/>
        <w:tblW w:w="9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8"/>
        <w:gridCol w:w="1795"/>
        <w:gridCol w:w="2419"/>
        <w:gridCol w:w="720"/>
        <w:gridCol w:w="675"/>
        <w:gridCol w:w="810"/>
        <w:gridCol w:w="825"/>
        <w:gridCol w:w="1189"/>
      </w:tblGrid>
      <w:tr w14:paraId="5307E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Align w:val="center"/>
          </w:tcPr>
          <w:p w14:paraId="21B7E89C">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序号</w:t>
            </w:r>
          </w:p>
        </w:tc>
        <w:tc>
          <w:tcPr>
            <w:tcW w:w="1795" w:type="dxa"/>
            <w:vAlign w:val="center"/>
          </w:tcPr>
          <w:p w14:paraId="56272AC6">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名称</w:t>
            </w:r>
          </w:p>
        </w:tc>
        <w:tc>
          <w:tcPr>
            <w:tcW w:w="2419" w:type="dxa"/>
            <w:vAlign w:val="center"/>
          </w:tcPr>
          <w:p w14:paraId="0529182A">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型号规格</w:t>
            </w:r>
          </w:p>
        </w:tc>
        <w:tc>
          <w:tcPr>
            <w:tcW w:w="720" w:type="dxa"/>
            <w:vAlign w:val="center"/>
          </w:tcPr>
          <w:p w14:paraId="5BE5BC2E">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单位</w:t>
            </w:r>
          </w:p>
        </w:tc>
        <w:tc>
          <w:tcPr>
            <w:tcW w:w="675" w:type="dxa"/>
            <w:vAlign w:val="center"/>
          </w:tcPr>
          <w:p w14:paraId="183FC9EC">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数量</w:t>
            </w:r>
          </w:p>
        </w:tc>
        <w:tc>
          <w:tcPr>
            <w:tcW w:w="810" w:type="dxa"/>
            <w:vAlign w:val="center"/>
          </w:tcPr>
          <w:p w14:paraId="0F19381F">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单价</w:t>
            </w:r>
          </w:p>
        </w:tc>
        <w:tc>
          <w:tcPr>
            <w:tcW w:w="825" w:type="dxa"/>
            <w:vAlign w:val="center"/>
          </w:tcPr>
          <w:p w14:paraId="0F383C88">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总价</w:t>
            </w:r>
          </w:p>
        </w:tc>
        <w:tc>
          <w:tcPr>
            <w:tcW w:w="1189" w:type="dxa"/>
            <w:vAlign w:val="center"/>
          </w:tcPr>
          <w:p w14:paraId="041F3DF4">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制造商</w:t>
            </w:r>
          </w:p>
        </w:tc>
      </w:tr>
      <w:tr w14:paraId="1C9C3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Align w:val="center"/>
          </w:tcPr>
          <w:p w14:paraId="6A06118A">
            <w:pPr>
              <w:jc w:val="center"/>
              <w:rPr>
                <w:rFonts w:ascii="宋体" w:hAnsi="宋体" w:eastAsia="宋体" w:cs="宋体"/>
                <w:bCs/>
                <w:color w:val="000000" w:themeColor="text1"/>
                <w14:textFill>
                  <w14:solidFill>
                    <w14:schemeClr w14:val="tx1"/>
                  </w14:solidFill>
                </w14:textFill>
              </w:rPr>
            </w:pPr>
            <w:r>
              <w:rPr>
                <w:rFonts w:hint="eastAsia" w:ascii="宋体" w:hAnsi="宋体" w:eastAsia="宋体" w:cs="宋体"/>
                <w:bCs/>
                <w:color w:val="000000" w:themeColor="text1"/>
                <w14:textFill>
                  <w14:solidFill>
                    <w14:schemeClr w14:val="tx1"/>
                  </w14:solidFill>
                </w14:textFill>
              </w:rPr>
              <w:t>1</w:t>
            </w:r>
          </w:p>
        </w:tc>
        <w:tc>
          <w:tcPr>
            <w:tcW w:w="1795" w:type="dxa"/>
            <w:vAlign w:val="center"/>
          </w:tcPr>
          <w:p w14:paraId="274C21EF">
            <w:pPr>
              <w:ind w:firstLine="482"/>
              <w:jc w:val="center"/>
              <w:rPr>
                <w:rFonts w:ascii="宋体" w:hAnsi="宋体" w:eastAsia="宋体" w:cs="宋体"/>
                <w:bCs/>
                <w:color w:val="000000" w:themeColor="text1"/>
                <w14:textFill>
                  <w14:solidFill>
                    <w14:schemeClr w14:val="tx1"/>
                  </w14:solidFill>
                </w14:textFill>
              </w:rPr>
            </w:pPr>
          </w:p>
        </w:tc>
        <w:tc>
          <w:tcPr>
            <w:tcW w:w="2419" w:type="dxa"/>
            <w:vAlign w:val="center"/>
          </w:tcPr>
          <w:p w14:paraId="05735F6E">
            <w:pPr>
              <w:jc w:val="center"/>
              <w:rPr>
                <w:bCs/>
                <w:color w:val="000000" w:themeColor="text1"/>
                <w14:textFill>
                  <w14:solidFill>
                    <w14:schemeClr w14:val="tx1"/>
                  </w14:solidFill>
                </w14:textFill>
              </w:rPr>
            </w:pPr>
          </w:p>
        </w:tc>
        <w:tc>
          <w:tcPr>
            <w:tcW w:w="720" w:type="dxa"/>
            <w:vAlign w:val="center"/>
          </w:tcPr>
          <w:p w14:paraId="66D61652">
            <w:pPr>
              <w:jc w:val="center"/>
              <w:rPr>
                <w:rFonts w:ascii="宋体" w:hAnsi="宋体" w:eastAsia="宋体" w:cs="宋体"/>
                <w:bCs/>
                <w:color w:val="000000" w:themeColor="text1"/>
                <w14:textFill>
                  <w14:solidFill>
                    <w14:schemeClr w14:val="tx1"/>
                  </w14:solidFill>
                </w14:textFill>
              </w:rPr>
            </w:pPr>
          </w:p>
        </w:tc>
        <w:tc>
          <w:tcPr>
            <w:tcW w:w="675" w:type="dxa"/>
            <w:vAlign w:val="center"/>
          </w:tcPr>
          <w:p w14:paraId="22E89331">
            <w:pPr>
              <w:jc w:val="center"/>
              <w:rPr>
                <w:rFonts w:ascii="宋体" w:hAnsi="宋体" w:eastAsia="宋体" w:cs="宋体"/>
                <w:bCs/>
                <w:color w:val="000000" w:themeColor="text1"/>
                <w14:textFill>
                  <w14:solidFill>
                    <w14:schemeClr w14:val="tx1"/>
                  </w14:solidFill>
                </w14:textFill>
              </w:rPr>
            </w:pPr>
          </w:p>
        </w:tc>
        <w:tc>
          <w:tcPr>
            <w:tcW w:w="810" w:type="dxa"/>
            <w:vAlign w:val="center"/>
          </w:tcPr>
          <w:p w14:paraId="0743459C">
            <w:pPr>
              <w:jc w:val="center"/>
              <w:rPr>
                <w:rFonts w:ascii="宋体" w:hAnsi="宋体" w:eastAsia="宋体" w:cs="宋体"/>
                <w:bCs/>
                <w:color w:val="000000" w:themeColor="text1"/>
                <w14:textFill>
                  <w14:solidFill>
                    <w14:schemeClr w14:val="tx1"/>
                  </w14:solidFill>
                </w14:textFill>
              </w:rPr>
            </w:pPr>
          </w:p>
        </w:tc>
        <w:tc>
          <w:tcPr>
            <w:tcW w:w="825" w:type="dxa"/>
            <w:vAlign w:val="center"/>
          </w:tcPr>
          <w:p w14:paraId="1A6574BA">
            <w:pPr>
              <w:jc w:val="center"/>
              <w:rPr>
                <w:rFonts w:ascii="宋体" w:hAnsi="宋体" w:eastAsia="宋体" w:cs="宋体"/>
                <w:bCs/>
                <w:color w:val="000000" w:themeColor="text1"/>
                <w14:textFill>
                  <w14:solidFill>
                    <w14:schemeClr w14:val="tx1"/>
                  </w14:solidFill>
                </w14:textFill>
              </w:rPr>
            </w:pPr>
          </w:p>
        </w:tc>
        <w:tc>
          <w:tcPr>
            <w:tcW w:w="1189" w:type="dxa"/>
            <w:vAlign w:val="center"/>
          </w:tcPr>
          <w:p w14:paraId="08A0052C">
            <w:pPr>
              <w:jc w:val="center"/>
              <w:rPr>
                <w:rFonts w:ascii="宋体" w:hAnsi="宋体" w:eastAsia="宋体" w:cs="宋体"/>
                <w:bCs/>
                <w:color w:val="000000" w:themeColor="text1"/>
                <w14:textFill>
                  <w14:solidFill>
                    <w14:schemeClr w14:val="tx1"/>
                  </w14:solidFill>
                </w14:textFill>
              </w:rPr>
            </w:pPr>
          </w:p>
        </w:tc>
      </w:tr>
      <w:tr w14:paraId="293EE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Align w:val="center"/>
          </w:tcPr>
          <w:p w14:paraId="78318D10">
            <w:pPr>
              <w:jc w:val="center"/>
              <w:rPr>
                <w:rFonts w:ascii="宋体" w:hAnsi="宋体" w:eastAsia="宋体" w:cs="宋体"/>
                <w:bCs/>
                <w:color w:val="000000" w:themeColor="text1"/>
                <w14:textFill>
                  <w14:solidFill>
                    <w14:schemeClr w14:val="tx1"/>
                  </w14:solidFill>
                </w14:textFill>
              </w:rPr>
            </w:pPr>
          </w:p>
        </w:tc>
        <w:tc>
          <w:tcPr>
            <w:tcW w:w="1795" w:type="dxa"/>
            <w:vAlign w:val="center"/>
          </w:tcPr>
          <w:p w14:paraId="30757108">
            <w:pPr>
              <w:ind w:firstLine="482"/>
              <w:jc w:val="center"/>
              <w:rPr>
                <w:rFonts w:ascii="宋体" w:hAnsi="宋体" w:eastAsia="宋体" w:cs="宋体"/>
                <w:bCs/>
                <w:color w:val="000000" w:themeColor="text1"/>
                <w14:textFill>
                  <w14:solidFill>
                    <w14:schemeClr w14:val="tx1"/>
                  </w14:solidFill>
                </w14:textFill>
              </w:rPr>
            </w:pPr>
          </w:p>
        </w:tc>
        <w:tc>
          <w:tcPr>
            <w:tcW w:w="2419" w:type="dxa"/>
            <w:vAlign w:val="center"/>
          </w:tcPr>
          <w:p w14:paraId="77D1D0A9">
            <w:pPr>
              <w:jc w:val="center"/>
              <w:rPr>
                <w:bCs/>
                <w:color w:val="000000" w:themeColor="text1"/>
                <w14:textFill>
                  <w14:solidFill>
                    <w14:schemeClr w14:val="tx1"/>
                  </w14:solidFill>
                </w14:textFill>
              </w:rPr>
            </w:pPr>
          </w:p>
        </w:tc>
        <w:tc>
          <w:tcPr>
            <w:tcW w:w="720" w:type="dxa"/>
            <w:vAlign w:val="center"/>
          </w:tcPr>
          <w:p w14:paraId="7357FB19">
            <w:pPr>
              <w:jc w:val="center"/>
              <w:rPr>
                <w:rFonts w:ascii="宋体" w:hAnsi="宋体" w:eastAsia="宋体" w:cs="宋体"/>
                <w:bCs/>
                <w:color w:val="000000" w:themeColor="text1"/>
                <w14:textFill>
                  <w14:solidFill>
                    <w14:schemeClr w14:val="tx1"/>
                  </w14:solidFill>
                </w14:textFill>
              </w:rPr>
            </w:pPr>
          </w:p>
        </w:tc>
        <w:tc>
          <w:tcPr>
            <w:tcW w:w="675" w:type="dxa"/>
            <w:vAlign w:val="center"/>
          </w:tcPr>
          <w:p w14:paraId="40FDA20A">
            <w:pPr>
              <w:jc w:val="center"/>
              <w:rPr>
                <w:rFonts w:ascii="宋体" w:hAnsi="宋体" w:eastAsia="宋体" w:cs="宋体"/>
                <w:bCs/>
                <w:color w:val="000000" w:themeColor="text1"/>
                <w14:textFill>
                  <w14:solidFill>
                    <w14:schemeClr w14:val="tx1"/>
                  </w14:solidFill>
                </w14:textFill>
              </w:rPr>
            </w:pPr>
          </w:p>
        </w:tc>
        <w:tc>
          <w:tcPr>
            <w:tcW w:w="810" w:type="dxa"/>
            <w:vAlign w:val="center"/>
          </w:tcPr>
          <w:p w14:paraId="7FA22690">
            <w:pPr>
              <w:jc w:val="center"/>
              <w:rPr>
                <w:rFonts w:ascii="宋体" w:hAnsi="宋体" w:eastAsia="宋体" w:cs="宋体"/>
                <w:bCs/>
                <w:color w:val="000000" w:themeColor="text1"/>
                <w14:textFill>
                  <w14:solidFill>
                    <w14:schemeClr w14:val="tx1"/>
                  </w14:solidFill>
                </w14:textFill>
              </w:rPr>
            </w:pPr>
          </w:p>
        </w:tc>
        <w:tc>
          <w:tcPr>
            <w:tcW w:w="825" w:type="dxa"/>
            <w:vAlign w:val="center"/>
          </w:tcPr>
          <w:p w14:paraId="6A6A05EA">
            <w:pPr>
              <w:jc w:val="center"/>
              <w:rPr>
                <w:rFonts w:ascii="宋体" w:hAnsi="宋体" w:eastAsia="宋体" w:cs="宋体"/>
                <w:bCs/>
                <w:color w:val="000000" w:themeColor="text1"/>
                <w14:textFill>
                  <w14:solidFill>
                    <w14:schemeClr w14:val="tx1"/>
                  </w14:solidFill>
                </w14:textFill>
              </w:rPr>
            </w:pPr>
          </w:p>
        </w:tc>
        <w:tc>
          <w:tcPr>
            <w:tcW w:w="1189" w:type="dxa"/>
            <w:vAlign w:val="center"/>
          </w:tcPr>
          <w:p w14:paraId="19A8C749">
            <w:pPr>
              <w:jc w:val="center"/>
              <w:rPr>
                <w:rFonts w:ascii="宋体" w:hAnsi="宋体" w:eastAsia="宋体" w:cs="宋体"/>
                <w:bCs/>
                <w:color w:val="000000" w:themeColor="text1"/>
                <w14:textFill>
                  <w14:solidFill>
                    <w14:schemeClr w14:val="tx1"/>
                  </w14:solidFill>
                </w14:textFill>
              </w:rPr>
            </w:pPr>
          </w:p>
        </w:tc>
      </w:tr>
      <w:tr w14:paraId="3B7E0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8" w:type="dxa"/>
            <w:vAlign w:val="center"/>
          </w:tcPr>
          <w:p w14:paraId="7F20D569">
            <w:pPr>
              <w:jc w:val="center"/>
              <w:rPr>
                <w:rFonts w:ascii="宋体" w:hAnsi="宋体" w:eastAsia="宋体" w:cs="宋体"/>
                <w:bCs/>
                <w:color w:val="000000" w:themeColor="text1"/>
                <w14:textFill>
                  <w14:solidFill>
                    <w14:schemeClr w14:val="tx1"/>
                  </w14:solidFill>
                </w14:textFill>
              </w:rPr>
            </w:pPr>
          </w:p>
        </w:tc>
        <w:tc>
          <w:tcPr>
            <w:tcW w:w="1795" w:type="dxa"/>
            <w:vAlign w:val="center"/>
          </w:tcPr>
          <w:p w14:paraId="37C3F6FA">
            <w:pPr>
              <w:ind w:firstLine="482"/>
              <w:jc w:val="center"/>
              <w:rPr>
                <w:rFonts w:ascii="宋体" w:hAnsi="宋体" w:eastAsia="宋体" w:cs="宋体"/>
                <w:bCs/>
                <w:color w:val="000000" w:themeColor="text1"/>
                <w14:textFill>
                  <w14:solidFill>
                    <w14:schemeClr w14:val="tx1"/>
                  </w14:solidFill>
                </w14:textFill>
              </w:rPr>
            </w:pPr>
          </w:p>
        </w:tc>
        <w:tc>
          <w:tcPr>
            <w:tcW w:w="2419" w:type="dxa"/>
            <w:vAlign w:val="center"/>
          </w:tcPr>
          <w:p w14:paraId="20CD4E88">
            <w:pPr>
              <w:jc w:val="center"/>
              <w:rPr>
                <w:bCs/>
                <w:color w:val="000000" w:themeColor="text1"/>
                <w14:textFill>
                  <w14:solidFill>
                    <w14:schemeClr w14:val="tx1"/>
                  </w14:solidFill>
                </w14:textFill>
              </w:rPr>
            </w:pPr>
          </w:p>
        </w:tc>
        <w:tc>
          <w:tcPr>
            <w:tcW w:w="720" w:type="dxa"/>
            <w:vAlign w:val="center"/>
          </w:tcPr>
          <w:p w14:paraId="39EF658F">
            <w:pPr>
              <w:jc w:val="center"/>
              <w:rPr>
                <w:rFonts w:ascii="宋体" w:hAnsi="宋体" w:eastAsia="宋体" w:cs="宋体"/>
                <w:bCs/>
                <w:color w:val="000000" w:themeColor="text1"/>
                <w14:textFill>
                  <w14:solidFill>
                    <w14:schemeClr w14:val="tx1"/>
                  </w14:solidFill>
                </w14:textFill>
              </w:rPr>
            </w:pPr>
          </w:p>
        </w:tc>
        <w:tc>
          <w:tcPr>
            <w:tcW w:w="675" w:type="dxa"/>
            <w:vAlign w:val="center"/>
          </w:tcPr>
          <w:p w14:paraId="7EDA4D3E">
            <w:pPr>
              <w:jc w:val="center"/>
              <w:rPr>
                <w:rFonts w:ascii="宋体" w:hAnsi="宋体" w:eastAsia="宋体" w:cs="宋体"/>
                <w:bCs/>
                <w:color w:val="000000" w:themeColor="text1"/>
                <w14:textFill>
                  <w14:solidFill>
                    <w14:schemeClr w14:val="tx1"/>
                  </w14:solidFill>
                </w14:textFill>
              </w:rPr>
            </w:pPr>
          </w:p>
        </w:tc>
        <w:tc>
          <w:tcPr>
            <w:tcW w:w="810" w:type="dxa"/>
            <w:vAlign w:val="center"/>
          </w:tcPr>
          <w:p w14:paraId="395C5AC9">
            <w:pPr>
              <w:jc w:val="center"/>
              <w:rPr>
                <w:rFonts w:ascii="宋体" w:hAnsi="宋体" w:eastAsia="宋体" w:cs="宋体"/>
                <w:bCs/>
                <w:color w:val="000000" w:themeColor="text1"/>
                <w14:textFill>
                  <w14:solidFill>
                    <w14:schemeClr w14:val="tx1"/>
                  </w14:solidFill>
                </w14:textFill>
              </w:rPr>
            </w:pPr>
          </w:p>
        </w:tc>
        <w:tc>
          <w:tcPr>
            <w:tcW w:w="825" w:type="dxa"/>
            <w:vAlign w:val="center"/>
          </w:tcPr>
          <w:p w14:paraId="586301D4">
            <w:pPr>
              <w:jc w:val="center"/>
              <w:rPr>
                <w:rFonts w:ascii="宋体" w:hAnsi="宋体" w:eastAsia="宋体" w:cs="宋体"/>
                <w:bCs/>
                <w:color w:val="000000" w:themeColor="text1"/>
                <w14:textFill>
                  <w14:solidFill>
                    <w14:schemeClr w14:val="tx1"/>
                  </w14:solidFill>
                </w14:textFill>
              </w:rPr>
            </w:pPr>
          </w:p>
        </w:tc>
        <w:tc>
          <w:tcPr>
            <w:tcW w:w="1189" w:type="dxa"/>
            <w:vAlign w:val="center"/>
          </w:tcPr>
          <w:p w14:paraId="52FD101D">
            <w:pPr>
              <w:jc w:val="center"/>
              <w:rPr>
                <w:rFonts w:ascii="宋体" w:hAnsi="宋体" w:eastAsia="宋体" w:cs="宋体"/>
                <w:bCs/>
                <w:color w:val="000000" w:themeColor="text1"/>
                <w14:textFill>
                  <w14:solidFill>
                    <w14:schemeClr w14:val="tx1"/>
                  </w14:solidFill>
                </w14:textFill>
              </w:rPr>
            </w:pPr>
          </w:p>
        </w:tc>
      </w:tr>
    </w:tbl>
    <w:p w14:paraId="58F444D8">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6.2“开标一览表”和“明细表”仅作为投标方编制投标技术文件的一般格式。其中序号编写应当便于招标方了解分类或分项货物之间的所属关系，如1.1.1.1.2；</w:t>
      </w:r>
    </w:p>
    <w:p w14:paraId="03CB1468">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6.3应当尽可能将货物的配置列全、列细，这将有助于投标方胜出；</w:t>
      </w:r>
    </w:p>
    <w:p w14:paraId="529E18C0">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44C6758B">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6.5本条款表格中的制造商，应当为全称或公认的简称。</w:t>
      </w:r>
    </w:p>
    <w:p w14:paraId="406DFC7C">
      <w:pPr>
        <w:keepNext/>
        <w:keepLines/>
        <w:widowControl/>
        <w:numPr>
          <w:ilvl w:val="0"/>
          <w:numId w:val="19"/>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技术文件中货物报价格式要求</w:t>
      </w:r>
    </w:p>
    <w:p w14:paraId="4FE4E4D4">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10CD1C1B">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6CA051F3">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3.投标总报价为自合同签定生效至合同无异议执行完毕涉及的招标方需要支付的全部费用。如投标方认为本招标及投标货物涉及特需或专门的设计，应当单独列明设计费。</w:t>
      </w:r>
    </w:p>
    <w:p w14:paraId="10FBD12F">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4.备品备件、易损件和专用耗材，招标方将可能与投标方按照投标价格另行签署供货合同。</w:t>
      </w:r>
    </w:p>
    <w:p w14:paraId="421C03D2">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5.要求投标总报价、分项报价、明细报价之间应当具有相互间对应关系以及填报分项和明细报价，仅为便于评标而不妨碍投标方以最合适的形式签署合同。</w:t>
      </w:r>
    </w:p>
    <w:p w14:paraId="5F721110">
      <w:pPr>
        <w:keepNext/>
        <w:keepLines/>
        <w:widowControl/>
        <w:numPr>
          <w:ilvl w:val="0"/>
          <w:numId w:val="19"/>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验收标准及内容要求</w:t>
      </w:r>
    </w:p>
    <w:p w14:paraId="0C4E9D08">
      <w:pPr>
        <w:widowControl/>
        <w:adjustRightInd w:val="0"/>
        <w:snapToGrid w:val="0"/>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14AB492E">
      <w:pPr>
        <w:keepNext/>
        <w:keepLines/>
        <w:widowControl/>
        <w:spacing w:before="120" w:after="120" w:line="360" w:lineRule="auto"/>
        <w:ind w:left="8364" w:firstLine="480" w:firstLineChars="200"/>
        <w:jc w:val="center"/>
        <w:outlineLvl w:val="0"/>
        <w:rPr>
          <w:rFonts w:ascii="宋体" w:hAnsi="宋体" w:eastAsia="宋体" w:cs="宋体"/>
          <w:bCs/>
          <w:kern w:val="44"/>
          <w:sz w:val="24"/>
          <w:szCs w:val="24"/>
          <w:lang w:val="zh-CN"/>
        </w:rPr>
        <w:sectPr>
          <w:footerReference r:id="rId11" w:type="first"/>
          <w:footerReference r:id="rId10" w:type="default"/>
          <w:pgSz w:w="11906" w:h="16838"/>
          <w:pgMar w:top="1588" w:right="1418" w:bottom="1134" w:left="1418" w:header="851" w:footer="992" w:gutter="0"/>
          <w:pgNumType w:fmt="numberInDash"/>
          <w:cols w:space="720" w:num="1"/>
          <w:titlePg/>
          <w:docGrid w:linePitch="312" w:charSpace="0"/>
        </w:sectPr>
      </w:pPr>
    </w:p>
    <w:p w14:paraId="2CAF8AE4">
      <w:pPr>
        <w:keepNext/>
        <w:keepLines/>
        <w:ind w:firstLine="562"/>
        <w:jc w:val="center"/>
        <w:outlineLvl w:val="1"/>
        <w:rPr>
          <w:rFonts w:ascii="宋体" w:hAnsi="宋体" w:eastAsia="宋体" w:cs="宋体"/>
          <w:b/>
          <w:iCs/>
          <w:kern w:val="44"/>
          <w:sz w:val="28"/>
        </w:rPr>
      </w:pPr>
      <w:r>
        <w:rPr>
          <w:rFonts w:hint="eastAsia" w:ascii="宋体" w:hAnsi="宋体" w:eastAsia="宋体" w:cs="宋体"/>
          <w:b/>
          <w:iCs/>
          <w:kern w:val="44"/>
          <w:sz w:val="28"/>
        </w:rPr>
        <w:t>第七章  其它要求及说明</w:t>
      </w:r>
    </w:p>
    <w:p w14:paraId="4CF255D9">
      <w:pPr>
        <w:keepNext/>
        <w:keepLines/>
        <w:widowControl/>
        <w:numPr>
          <w:ilvl w:val="0"/>
          <w:numId w:val="91"/>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要求</w:t>
      </w:r>
    </w:p>
    <w:p w14:paraId="120C3191">
      <w:pPr>
        <w:widowControl/>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为保证本技术标书所列采购货物的质量以及先进性、可靠性、经济性和实用性，要求投标方在投标文件中，至少应具备以下资格证明文件或资料：</w:t>
      </w:r>
    </w:p>
    <w:p w14:paraId="03AC7F1D">
      <w:pPr>
        <w:widowControl/>
        <w:numPr>
          <w:ilvl w:val="0"/>
          <w:numId w:val="92"/>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投标方应是独立法人或得到法人授权的机构。应当在投标文件中提供法人营业执照（复印件）、税务登记证以及组织机构代码证（国际供应商参考该要求提供有效证明文件），并保证其真实性和有效性。</w:t>
      </w:r>
    </w:p>
    <w:p w14:paraId="7058CCD6">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投标方应当是通过有关资格认证的法人。应当在投标文件中提供有效期内的资格认证证书，如：ISO9001.VDA6.1.QS9000等。</w:t>
      </w:r>
    </w:p>
    <w:p w14:paraId="39835220">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国产设备应附有采购货物（或设备）涉及的由“中国质量认证中心”颁发的《中国国家强制性产品认证证书》（CCC证书）。</w:t>
      </w:r>
    </w:p>
    <w:p w14:paraId="692BA94C">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应附有其它与投标方、采购货物有关的荣誉证书或资料。</w:t>
      </w:r>
    </w:p>
    <w:p w14:paraId="6AF1ED6B">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必须附有投标货物涉及产品要求的、国家或行业管理规定要求的、或者投标方认为能够体现其投标货物合法性及先进性的最高级别的证明材料（投标货物不涉及的除外）：</w:t>
      </w:r>
    </w:p>
    <w:p w14:paraId="139BCF01">
      <w:pPr>
        <w:widowControl/>
        <w:spacing w:line="360" w:lineRule="auto"/>
        <w:ind w:left="902" w:firstLine="480"/>
        <w:contextualSpacing/>
        <w:jc w:val="left"/>
        <w:rPr>
          <w:rFonts w:ascii="宋体" w:hAnsi="宋体" w:eastAsia="宋体" w:cs="宋体"/>
          <w:sz w:val="24"/>
          <w:szCs w:val="24"/>
        </w:rPr>
      </w:pPr>
      <w:r>
        <w:rPr>
          <w:rFonts w:hint="eastAsia" w:ascii="宋体" w:hAnsi="宋体" w:eastAsia="宋体" w:cs="宋体"/>
          <w:sz w:val="24"/>
          <w:szCs w:val="24"/>
        </w:rPr>
        <w:t>国家相关机构颁发的有效期之内所必需的《生产许可证》；</w:t>
      </w:r>
    </w:p>
    <w:p w14:paraId="121481D3">
      <w:pPr>
        <w:widowControl/>
        <w:spacing w:line="360" w:lineRule="auto"/>
        <w:ind w:left="902" w:firstLine="480"/>
        <w:contextualSpacing/>
        <w:jc w:val="left"/>
        <w:rPr>
          <w:rFonts w:ascii="宋体" w:hAnsi="宋体" w:eastAsia="宋体" w:cs="宋体"/>
          <w:sz w:val="24"/>
          <w:szCs w:val="24"/>
        </w:rPr>
      </w:pPr>
      <w:r>
        <w:rPr>
          <w:rFonts w:hint="eastAsia" w:ascii="宋体" w:hAnsi="宋体" w:eastAsia="宋体" w:cs="宋体"/>
          <w:sz w:val="24"/>
          <w:szCs w:val="24"/>
        </w:rPr>
        <w:t>产品（或技术）鉴定报告/证书、专利证书或专利许可证书、新技术成果证书等；</w:t>
      </w:r>
    </w:p>
    <w:p w14:paraId="5ED01FF7">
      <w:pPr>
        <w:widowControl/>
        <w:spacing w:line="360" w:lineRule="auto"/>
        <w:ind w:left="902" w:firstLine="480"/>
        <w:contextualSpacing/>
        <w:jc w:val="left"/>
        <w:rPr>
          <w:rFonts w:ascii="宋体" w:hAnsi="宋体" w:eastAsia="宋体" w:cs="宋体"/>
          <w:sz w:val="24"/>
          <w:szCs w:val="24"/>
        </w:rPr>
      </w:pPr>
      <w:r>
        <w:rPr>
          <w:rFonts w:hint="eastAsia" w:ascii="宋体" w:hAnsi="宋体" w:eastAsia="宋体" w:cs="宋体"/>
          <w:sz w:val="24"/>
          <w:szCs w:val="24"/>
        </w:rPr>
        <w:t>产品相关检验、试验报告，如：型式试验检验报告、安全试验检验报告、电弧效应试验报告、噪声检测报告等；</w:t>
      </w:r>
    </w:p>
    <w:p w14:paraId="119F2091">
      <w:pPr>
        <w:widowControl/>
        <w:spacing w:line="360" w:lineRule="auto"/>
        <w:ind w:left="902" w:firstLine="480"/>
        <w:contextualSpacing/>
        <w:jc w:val="left"/>
        <w:rPr>
          <w:rFonts w:ascii="宋体" w:hAnsi="宋体" w:eastAsia="宋体" w:cs="宋体"/>
          <w:sz w:val="24"/>
          <w:szCs w:val="24"/>
        </w:rPr>
      </w:pPr>
      <w:r>
        <w:rPr>
          <w:rFonts w:hint="eastAsia" w:ascii="宋体" w:hAnsi="宋体" w:eastAsia="宋体" w:cs="宋体"/>
          <w:sz w:val="24"/>
          <w:szCs w:val="24"/>
        </w:rPr>
        <w:t>其它能够证明所供货物的质量水平、技术水平、安全性水平、节能性水平、环保性水平等相关的其它证明文件或资料、报告等；</w:t>
      </w:r>
    </w:p>
    <w:p w14:paraId="35B6A250">
      <w:pPr>
        <w:widowControl/>
        <w:spacing w:line="360" w:lineRule="auto"/>
        <w:ind w:left="902" w:firstLine="480"/>
        <w:contextualSpacing/>
        <w:jc w:val="left"/>
        <w:rPr>
          <w:rFonts w:ascii="宋体" w:hAnsi="宋体" w:eastAsia="宋体" w:cs="宋体"/>
          <w:sz w:val="24"/>
          <w:szCs w:val="24"/>
        </w:rPr>
      </w:pPr>
      <w:r>
        <w:rPr>
          <w:rFonts w:hint="eastAsia" w:ascii="宋体" w:hAnsi="宋体" w:eastAsia="宋体" w:cs="宋体"/>
          <w:sz w:val="24"/>
          <w:szCs w:val="24"/>
        </w:rPr>
        <w:t>该类报告或证明材料对于投标方胜出乃至中标极为重要！</w:t>
      </w:r>
    </w:p>
    <w:p w14:paraId="56B6DBB9">
      <w:pPr>
        <w:widowControl/>
        <w:spacing w:line="360" w:lineRule="auto"/>
        <w:ind w:left="618" w:hanging="476"/>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必须附有：与本采购货物相同或相似技术规格、型号的而且已经正常使用或通过验收的近三年以上的货物的市场销售业绩清单，清单中应具备：招标方单位名称、销售货物的规格型号、数量、（交货）时间、联系人和联系电话（非移动通信号码）等条目内容；投标方应当保证其业绩的真实性，否则将影响投标或中标资格。</w:t>
      </w:r>
    </w:p>
    <w:p w14:paraId="6410D9DD">
      <w:pPr>
        <w:keepNext/>
        <w:keepLines/>
        <w:widowControl/>
        <w:numPr>
          <w:ilvl w:val="0"/>
          <w:numId w:val="19"/>
        </w:numPr>
        <w:spacing w:line="360" w:lineRule="auto"/>
        <w:ind w:left="420" w:firstLine="482" w:firstLineChars="200"/>
        <w:jc w:val="left"/>
        <w:outlineLvl w:val="2"/>
        <w:rPr>
          <w:rFonts w:ascii="Times New Roman" w:hAnsi="Times New Roman" w:eastAsia="宋体" w:cs="Times New Roman"/>
          <w:b/>
          <w:bCs/>
          <w:sz w:val="24"/>
          <w:szCs w:val="32"/>
          <w:lang w:val="zh-CN"/>
        </w:rPr>
      </w:pPr>
      <w:r>
        <w:rPr>
          <w:rFonts w:hint="eastAsia" w:ascii="Times New Roman" w:hAnsi="Times New Roman" w:eastAsia="宋体" w:cs="Times New Roman"/>
          <w:b/>
          <w:bCs/>
          <w:sz w:val="24"/>
          <w:szCs w:val="32"/>
          <w:lang w:val="zh-CN"/>
        </w:rPr>
        <w:t>其他</w:t>
      </w:r>
    </w:p>
    <w:p w14:paraId="36F16B1E">
      <w:pPr>
        <w:widowControl/>
        <w:numPr>
          <w:ilvl w:val="0"/>
          <w:numId w:val="93"/>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投标方可以根据自身的技术、经验等优势以及对招标文件和本技术标书的理解，写明对招标方所采购货物的优化方案或建议意见。投标方的这些努力，招标方表示感谢，并将有助于投标方优先胜出。</w:t>
      </w:r>
    </w:p>
    <w:p w14:paraId="777684FD">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即使有建议意见或建议方案，仍应依据招标文件和本技术标书要求，编写符合要求的投标文件。建议方案或建议意见，应以单独篇章或文件，予以说明和报价。</w:t>
      </w:r>
    </w:p>
    <w:p w14:paraId="1A6D17AD">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请投标方仔细阅读“采购货物概况”章节内说明，针对允许分投分中的货物，招标方有权利选择其中优秀设备或服务，作为投标方合同供货范围中的指定选用设备或服务（替代投标方分投而未中标部分）。</w:t>
      </w:r>
    </w:p>
    <w:p w14:paraId="7E760BA9">
      <w:pPr>
        <w:widowControl/>
        <w:numPr>
          <w:ilvl w:val="0"/>
          <w:numId w:val="17"/>
        </w:num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招标文件、投标文件、答疑文件、技术交流文件、技术标书等，在采购过程全部为有效文件，如有差异，以对招标方最有利的条款为准。</w:t>
      </w:r>
    </w:p>
    <w:p w14:paraId="460F59FA">
      <w:pPr>
        <w:widowControl/>
        <w:numPr>
          <w:ilvl w:val="0"/>
          <w:numId w:val="17"/>
        </w:numPr>
        <w:spacing w:line="360" w:lineRule="auto"/>
        <w:ind w:firstLine="480" w:firstLineChars="200"/>
        <w:jc w:val="left"/>
        <w:rPr>
          <w:rFonts w:ascii="Times New Roman" w:hAnsi="Times New Roman" w:eastAsia="宋体" w:cs="Times New Roman"/>
          <w:color w:val="000000"/>
          <w:sz w:val="24"/>
          <w:szCs w:val="20"/>
        </w:rPr>
      </w:pPr>
      <w:r>
        <w:rPr>
          <w:rFonts w:hint="eastAsia" w:ascii="Times New Roman" w:hAnsi="Times New Roman" w:eastAsia="宋体" w:cs="Times New Roman"/>
          <w:sz w:val="24"/>
          <w:szCs w:val="20"/>
        </w:rPr>
        <w:t>为避免歧义，本技术标书涉及招投标环节的条款，均将潜在的投标方称为投标方、将招标方称为招标方；定标后合同签署环节以及后续的合同执行环节条款，招标方称为招标方、投标方中的中标方称为投标方</w:t>
      </w:r>
      <w:r>
        <w:rPr>
          <w:rFonts w:hint="eastAsia" w:ascii="Times New Roman" w:hAnsi="Times New Roman" w:eastAsia="宋体" w:cs="Times New Roman"/>
          <w:color w:val="000000"/>
          <w:sz w:val="24"/>
          <w:szCs w:val="20"/>
        </w:rPr>
        <w:t>。</w:t>
      </w:r>
    </w:p>
    <w:p w14:paraId="74234C92">
      <w:pPr>
        <w:pStyle w:val="2"/>
        <w:spacing w:line="360" w:lineRule="auto"/>
        <w:rPr>
          <w:rFonts w:hAnsi="宋体" w:eastAsia="宋体" w:cs="宋体"/>
          <w:sz w:val="24"/>
          <w:szCs w:val="24"/>
        </w:rPr>
      </w:pPr>
    </w:p>
    <w:p w14:paraId="3AA8B98A">
      <w:pPr>
        <w:pStyle w:val="2"/>
        <w:spacing w:line="360" w:lineRule="auto"/>
        <w:rPr>
          <w:rFonts w:hAnsi="宋体" w:eastAsia="宋体" w:cs="宋体"/>
          <w:sz w:val="24"/>
          <w:szCs w:val="24"/>
        </w:rPr>
      </w:pPr>
    </w:p>
    <w:p w14:paraId="27F0C9B7">
      <w:pPr>
        <w:pStyle w:val="2"/>
        <w:spacing w:line="360" w:lineRule="auto"/>
        <w:rPr>
          <w:rFonts w:hAnsi="宋体" w:eastAsia="宋体" w:cs="宋体"/>
          <w:sz w:val="24"/>
          <w:szCs w:val="24"/>
        </w:rPr>
        <w:sectPr>
          <w:footerReference r:id="rId13" w:type="first"/>
          <w:footerReference r:id="rId12" w:type="default"/>
          <w:pgSz w:w="11907" w:h="16840"/>
          <w:pgMar w:top="1304" w:right="1418" w:bottom="1304" w:left="1418" w:header="724" w:footer="851" w:gutter="0"/>
          <w:cols w:space="720" w:num="1"/>
          <w:docGrid w:linePitch="290" w:charSpace="-3931"/>
        </w:sectPr>
      </w:pPr>
    </w:p>
    <w:p w14:paraId="600C4D6D">
      <w:pPr>
        <w:pStyle w:val="2"/>
        <w:rPr>
          <w:rFonts w:ascii="Calibri" w:hAnsi="Calibri" w:eastAsia="宋体" w:cs="Times New Roman"/>
          <w:b/>
          <w:bCs/>
          <w:kern w:val="44"/>
          <w:sz w:val="36"/>
          <w:szCs w:val="44"/>
        </w:rPr>
      </w:pPr>
    </w:p>
    <w:p w14:paraId="37FDCF75">
      <w:pPr>
        <w:pStyle w:val="2"/>
      </w:pPr>
    </w:p>
    <w:p w14:paraId="4D2C8C2A">
      <w:pPr>
        <w:spacing w:line="360" w:lineRule="auto"/>
        <w:jc w:val="center"/>
        <w:outlineLvl w:val="0"/>
        <w:rPr>
          <w:rFonts w:ascii="宋体" w:hAnsi="Calibri" w:eastAsia="宋体" w:cs="Times New Roman"/>
          <w:b/>
          <w:sz w:val="36"/>
          <w:szCs w:val="36"/>
        </w:rPr>
      </w:pPr>
      <w:bookmarkStart w:id="108"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8"/>
    </w:p>
    <w:p w14:paraId="74E8909D">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5DC9CCCB">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81CA475">
      <w:pPr>
        <w:adjustRightInd w:val="0"/>
        <w:snapToGrid w:val="0"/>
        <w:spacing w:line="360" w:lineRule="auto"/>
        <w:jc w:val="left"/>
        <w:rPr>
          <w:rFonts w:ascii="宋体" w:hAnsi="宋体"/>
          <w:sz w:val="20"/>
          <w:szCs w:val="20"/>
        </w:rPr>
      </w:pPr>
    </w:p>
    <w:p w14:paraId="7DCB4333">
      <w:pPr>
        <w:adjustRightInd w:val="0"/>
        <w:snapToGrid w:val="0"/>
        <w:spacing w:line="360" w:lineRule="auto"/>
        <w:jc w:val="left"/>
        <w:rPr>
          <w:rFonts w:ascii="宋体" w:hAnsi="宋体"/>
          <w:sz w:val="20"/>
          <w:szCs w:val="20"/>
        </w:rPr>
      </w:pPr>
    </w:p>
    <w:p w14:paraId="0092DD42">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2B80D74F">
      <w:pPr>
        <w:pStyle w:val="2"/>
        <w:jc w:val="center"/>
      </w:pPr>
      <w:r>
        <w:rPr>
          <w:rFonts w:hint="eastAsia" w:hAnsi="宋体" w:eastAsia="宋体" w:cs="宋体"/>
          <w:b/>
          <w:sz w:val="24"/>
          <w:szCs w:val="24"/>
        </w:rPr>
        <w:t>（合同以双方最终签署的版本为准）</w:t>
      </w:r>
    </w:p>
    <w:p w14:paraId="51E5FFE1">
      <w:pPr>
        <w:adjustRightInd w:val="0"/>
        <w:snapToGrid w:val="0"/>
        <w:spacing w:line="360" w:lineRule="auto"/>
        <w:jc w:val="left"/>
        <w:rPr>
          <w:rFonts w:ascii="宋体" w:hAnsi="宋体"/>
          <w:b/>
          <w:sz w:val="36"/>
          <w:szCs w:val="36"/>
        </w:rPr>
      </w:pPr>
    </w:p>
    <w:p w14:paraId="51A65456">
      <w:pPr>
        <w:adjustRightInd w:val="0"/>
        <w:snapToGrid w:val="0"/>
        <w:spacing w:line="360" w:lineRule="auto"/>
        <w:jc w:val="left"/>
        <w:rPr>
          <w:rFonts w:ascii="宋体" w:hAnsi="宋体"/>
          <w:b/>
          <w:sz w:val="36"/>
          <w:szCs w:val="36"/>
        </w:rPr>
      </w:pPr>
    </w:p>
    <w:p w14:paraId="2E3DB153">
      <w:pPr>
        <w:adjustRightInd w:val="0"/>
        <w:snapToGrid w:val="0"/>
        <w:spacing w:line="360" w:lineRule="auto"/>
        <w:jc w:val="left"/>
        <w:rPr>
          <w:rFonts w:ascii="宋体" w:hAnsi="宋体"/>
          <w:b/>
          <w:sz w:val="36"/>
          <w:szCs w:val="36"/>
        </w:rPr>
      </w:pPr>
    </w:p>
    <w:p w14:paraId="613AF61B">
      <w:pPr>
        <w:adjustRightInd w:val="0"/>
        <w:snapToGrid w:val="0"/>
        <w:spacing w:line="360" w:lineRule="auto"/>
        <w:jc w:val="left"/>
        <w:rPr>
          <w:rFonts w:ascii="宋体" w:hAnsi="宋体"/>
          <w:b/>
          <w:sz w:val="36"/>
          <w:szCs w:val="36"/>
        </w:rPr>
      </w:pPr>
    </w:p>
    <w:p w14:paraId="7B425DAD">
      <w:pPr>
        <w:adjustRightInd w:val="0"/>
        <w:snapToGrid w:val="0"/>
        <w:spacing w:line="360" w:lineRule="auto"/>
        <w:jc w:val="left"/>
        <w:rPr>
          <w:rFonts w:ascii="宋体" w:hAnsi="宋体"/>
          <w:b/>
          <w:sz w:val="36"/>
          <w:szCs w:val="36"/>
        </w:rPr>
      </w:pPr>
    </w:p>
    <w:p w14:paraId="63D0EF01">
      <w:pPr>
        <w:adjustRightInd w:val="0"/>
        <w:snapToGrid w:val="0"/>
        <w:spacing w:line="360" w:lineRule="auto"/>
        <w:jc w:val="left"/>
        <w:rPr>
          <w:rFonts w:ascii="宋体" w:hAnsi="宋体"/>
          <w:b/>
          <w:sz w:val="36"/>
          <w:szCs w:val="36"/>
        </w:rPr>
      </w:pPr>
    </w:p>
    <w:p w14:paraId="0CE41E1E">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073DC85F">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22A48B38">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1C395CF5">
      <w:pPr>
        <w:spacing w:line="360" w:lineRule="auto"/>
        <w:ind w:right="480"/>
        <w:rPr>
          <w:rFonts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14:paraId="1540945C">
      <w:pPr>
        <w:spacing w:line="360" w:lineRule="auto"/>
        <w:rPr>
          <w:rFonts w:ascii="仿宋_GB2312" w:hAnsi="宋体" w:eastAsia="仿宋_GB2312" w:cs="宋体"/>
          <w:bCs/>
          <w:sz w:val="24"/>
          <w:szCs w:val="24"/>
        </w:rPr>
      </w:pPr>
      <w:bookmarkStart w:id="109"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488D6AA1">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55DFE5FB">
      <w:pPr>
        <w:spacing w:line="360" w:lineRule="auto"/>
        <w:ind w:right="-189" w:rightChars="-9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6CD853CB">
      <w:pPr>
        <w:spacing w:line="360" w:lineRule="auto"/>
        <w:ind w:right="-189" w:rightChars="-90"/>
        <w:jc w:val="left"/>
        <w:rPr>
          <w:rFonts w:ascii="仿宋_GB2312" w:hAnsi="宋体" w:eastAsia="仿宋_GB2312" w:cs="宋体"/>
          <w:b/>
          <w:bCs/>
          <w:sz w:val="24"/>
          <w:szCs w:val="24"/>
          <w:u w:val="single"/>
        </w:rPr>
      </w:pPr>
    </w:p>
    <w:p w14:paraId="4F5D8D69">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0650FD1C">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2793AF9A">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10" w:name="_Toc16330018"/>
      <w:bookmarkStart w:id="111" w:name="_Toc11823"/>
      <w:bookmarkStart w:id="112" w:name="_Toc11930"/>
      <w:bookmarkStart w:id="113" w:name="_Toc17619"/>
      <w:r>
        <w:rPr>
          <w:rFonts w:hint="eastAsia" w:ascii="黑体" w:hAnsi="黑体" w:eastAsia="黑体" w:cstheme="minorEastAsia"/>
          <w:b w:val="0"/>
          <w:sz w:val="28"/>
          <w:szCs w:val="28"/>
        </w:rPr>
        <w:t>1 合同设备</w:t>
      </w:r>
      <w:bookmarkEnd w:id="110"/>
      <w:bookmarkEnd w:id="111"/>
      <w:bookmarkEnd w:id="112"/>
      <w:bookmarkEnd w:id="113"/>
    </w:p>
    <w:p w14:paraId="0D3685E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0B44EA46">
      <w:pPr>
        <w:spacing w:line="360" w:lineRule="auto"/>
        <w:ind w:firstLine="453" w:firstLineChars="189"/>
        <w:rPr>
          <w:rFonts w:ascii="仿宋_GB2312" w:eastAsia="仿宋_GB2312" w:hAnsiTheme="minorEastAsia" w:cstheme="minorEastAsia"/>
          <w:sz w:val="24"/>
          <w:szCs w:val="24"/>
        </w:rPr>
      </w:pPr>
      <w:bookmarkStart w:id="114" w:name="_Toc32510"/>
      <w:bookmarkStart w:id="115" w:name="_Toc22800"/>
      <w:bookmarkStart w:id="116" w:name="_Toc29026"/>
      <w:r>
        <w:rPr>
          <w:rFonts w:hint="eastAsia" w:ascii="仿宋_GB2312" w:eastAsia="仿宋_GB2312" w:hAnsiTheme="minorEastAsia" w:cstheme="minorEastAsia"/>
          <w:sz w:val="24"/>
          <w:szCs w:val="24"/>
        </w:rPr>
        <w:t>1.2技术规格和标准</w:t>
      </w:r>
    </w:p>
    <w:p w14:paraId="38B31EE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6E7CBA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DE9C27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4910F35F">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17" w:name="_Toc16330019"/>
      <w:r>
        <w:rPr>
          <w:rFonts w:hint="eastAsia" w:ascii="黑体" w:hAnsi="黑体" w:eastAsia="黑体" w:cstheme="minorEastAsia"/>
          <w:b w:val="0"/>
          <w:sz w:val="28"/>
          <w:szCs w:val="28"/>
        </w:rPr>
        <w:t>2 包装</w:t>
      </w:r>
      <w:bookmarkEnd w:id="114"/>
      <w:bookmarkEnd w:id="115"/>
      <w:bookmarkEnd w:id="116"/>
      <w:bookmarkEnd w:id="117"/>
    </w:p>
    <w:p w14:paraId="6CE0B9F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963BC2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78305090">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18" w:name="_Toc2833"/>
      <w:bookmarkStart w:id="119" w:name="_Toc27453"/>
      <w:bookmarkStart w:id="120" w:name="_Toc16330020"/>
      <w:bookmarkStart w:id="121" w:name="_Toc27144"/>
      <w:r>
        <w:rPr>
          <w:rFonts w:hint="eastAsia" w:ascii="黑体" w:hAnsi="黑体" w:eastAsia="黑体" w:cstheme="minorEastAsia"/>
          <w:b w:val="0"/>
          <w:sz w:val="28"/>
          <w:szCs w:val="28"/>
        </w:rPr>
        <w:t>3 运输标记</w:t>
      </w:r>
      <w:bookmarkEnd w:id="118"/>
      <w:bookmarkEnd w:id="119"/>
      <w:bookmarkEnd w:id="120"/>
      <w:bookmarkEnd w:id="121"/>
    </w:p>
    <w:p w14:paraId="434A823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36C667A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560EB15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1CFB3C8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648B25E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043178F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6A6C4AD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2BBEABE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4D252DF">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22" w:name="_Toc16133"/>
      <w:bookmarkStart w:id="123" w:name="_Toc16330021"/>
      <w:bookmarkStart w:id="124" w:name="_Toc7431"/>
      <w:bookmarkStart w:id="125" w:name="_Toc10630"/>
      <w:r>
        <w:rPr>
          <w:rFonts w:hint="eastAsia" w:ascii="黑体" w:hAnsi="黑体" w:eastAsia="黑体" w:cstheme="minorEastAsia"/>
          <w:b w:val="0"/>
          <w:sz w:val="28"/>
          <w:szCs w:val="28"/>
        </w:rPr>
        <w:t>4 检验</w:t>
      </w:r>
      <w:bookmarkEnd w:id="122"/>
      <w:bookmarkEnd w:id="123"/>
      <w:bookmarkEnd w:id="124"/>
      <w:bookmarkEnd w:id="125"/>
    </w:p>
    <w:p w14:paraId="31C4DF1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133154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43598C40">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26" w:name="_Toc11217"/>
      <w:bookmarkStart w:id="127" w:name="_Toc24467"/>
      <w:bookmarkStart w:id="128" w:name="_Toc19850"/>
      <w:bookmarkStart w:id="129" w:name="_Toc16330022"/>
      <w:r>
        <w:rPr>
          <w:rFonts w:hint="eastAsia" w:ascii="黑体" w:hAnsi="黑体" w:eastAsia="黑体" w:cstheme="minorEastAsia"/>
          <w:b w:val="0"/>
          <w:sz w:val="28"/>
          <w:szCs w:val="28"/>
        </w:rPr>
        <w:t>5 权利担保</w:t>
      </w:r>
      <w:bookmarkEnd w:id="126"/>
      <w:bookmarkEnd w:id="127"/>
      <w:bookmarkEnd w:id="128"/>
      <w:bookmarkEnd w:id="129"/>
    </w:p>
    <w:p w14:paraId="63C320C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6D09CBE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5383EAC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0B8C681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20F8FF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CDD7472">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30" w:name="_Toc11759"/>
      <w:bookmarkStart w:id="131" w:name="_Toc16330023"/>
      <w:bookmarkStart w:id="132" w:name="_Toc14809"/>
      <w:bookmarkStart w:id="133" w:name="_Toc27500"/>
      <w:r>
        <w:rPr>
          <w:rFonts w:hint="eastAsia" w:ascii="黑体" w:hAnsi="黑体" w:eastAsia="黑体" w:cstheme="minorEastAsia"/>
          <w:b w:val="0"/>
          <w:sz w:val="28"/>
          <w:szCs w:val="28"/>
        </w:rPr>
        <w:t>6 交货</w:t>
      </w:r>
      <w:bookmarkEnd w:id="130"/>
      <w:bookmarkEnd w:id="131"/>
      <w:bookmarkEnd w:id="132"/>
      <w:bookmarkEnd w:id="133"/>
    </w:p>
    <w:p w14:paraId="02E9C8D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B66A9B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06F0870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B2EAD9A">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2632A4F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5A962F5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2413F06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1E3FB17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56DB9EA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652E77D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413217E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2DC1E03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4021A5AE">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1C232BE5">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34" w:name="_Toc2984"/>
      <w:bookmarkStart w:id="135" w:name="_Toc8024"/>
      <w:bookmarkStart w:id="136" w:name="_Toc16330024"/>
      <w:bookmarkStart w:id="137" w:name="_Toc25510"/>
      <w:r>
        <w:rPr>
          <w:rFonts w:hint="eastAsia" w:ascii="黑体" w:hAnsi="黑体" w:eastAsia="黑体" w:cstheme="minorEastAsia"/>
          <w:b w:val="0"/>
          <w:sz w:val="28"/>
          <w:szCs w:val="28"/>
        </w:rPr>
        <w:t>7 安装、调试</w:t>
      </w:r>
      <w:bookmarkEnd w:id="134"/>
      <w:bookmarkEnd w:id="135"/>
      <w:bookmarkEnd w:id="136"/>
      <w:bookmarkEnd w:id="137"/>
    </w:p>
    <w:p w14:paraId="2FCED0C5">
      <w:pPr>
        <w:pStyle w:val="17"/>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3005A64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2C05970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312713C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4A071F95">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2DECA298">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38" w:name="_Toc6350"/>
      <w:bookmarkStart w:id="139" w:name="_Toc14260"/>
      <w:bookmarkStart w:id="140" w:name="_Toc14098"/>
      <w:bookmarkStart w:id="141" w:name="_Toc16330025"/>
      <w:r>
        <w:rPr>
          <w:rFonts w:hint="eastAsia" w:ascii="黑体" w:hAnsi="黑体" w:eastAsia="黑体" w:cstheme="minorEastAsia"/>
          <w:b w:val="0"/>
          <w:sz w:val="28"/>
          <w:szCs w:val="28"/>
        </w:rPr>
        <w:t>8 价款与支付</w:t>
      </w:r>
      <w:bookmarkEnd w:id="138"/>
      <w:bookmarkEnd w:id="139"/>
      <w:bookmarkEnd w:id="140"/>
      <w:bookmarkEnd w:id="141"/>
    </w:p>
    <w:p w14:paraId="63124421">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24A9AB6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5F57395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3074CEB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145D830D">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77FAB513">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0F2A5674">
      <w:pPr>
        <w:spacing w:line="360" w:lineRule="auto"/>
        <w:ind w:firstLine="453" w:firstLineChars="189"/>
        <w:rPr>
          <w:rFonts w:ascii="仿宋_GB2312" w:hAnsi="黑体" w:eastAsia="仿宋_GB2312" w:cstheme="minorEastAsia"/>
          <w:i/>
          <w:sz w:val="24"/>
          <w:szCs w:val="24"/>
        </w:rPr>
      </w:pPr>
      <w:bookmarkStart w:id="142" w:name="_Toc14531628"/>
      <w:bookmarkStart w:id="143"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42"/>
      <w:bookmarkEnd w:id="143"/>
    </w:p>
    <w:p w14:paraId="4802024B">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44" w:name="_Toc24085"/>
      <w:bookmarkStart w:id="145" w:name="_Toc6726"/>
      <w:bookmarkStart w:id="146" w:name="_Toc25708"/>
      <w:bookmarkStart w:id="147" w:name="_Toc16330026"/>
      <w:r>
        <w:rPr>
          <w:rFonts w:hint="eastAsia" w:ascii="黑体" w:hAnsi="黑体" w:eastAsia="黑体" w:cstheme="minorEastAsia"/>
          <w:b w:val="0"/>
          <w:sz w:val="28"/>
          <w:szCs w:val="28"/>
        </w:rPr>
        <w:t>9 质量保证及售后服务</w:t>
      </w:r>
      <w:bookmarkEnd w:id="144"/>
      <w:bookmarkEnd w:id="145"/>
      <w:bookmarkEnd w:id="146"/>
      <w:bookmarkEnd w:id="147"/>
    </w:p>
    <w:p w14:paraId="700AF7B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DE55D5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4B63D87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6A4BC73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190001B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9B7C5D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6FF0FFE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29FFFE5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42AFCC66">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48" w:name="_Toc15570"/>
      <w:bookmarkStart w:id="149" w:name="_Toc10359"/>
      <w:bookmarkStart w:id="150" w:name="_Toc12927"/>
      <w:bookmarkStart w:id="151" w:name="_Toc16330027"/>
      <w:r>
        <w:rPr>
          <w:rFonts w:hint="eastAsia" w:ascii="黑体" w:hAnsi="黑体" w:eastAsia="黑体" w:cstheme="minorEastAsia"/>
          <w:b w:val="0"/>
          <w:sz w:val="28"/>
          <w:szCs w:val="28"/>
        </w:rPr>
        <w:t>10法定责任</w:t>
      </w:r>
      <w:bookmarkEnd w:id="148"/>
      <w:bookmarkEnd w:id="149"/>
      <w:bookmarkEnd w:id="150"/>
      <w:bookmarkEnd w:id="151"/>
    </w:p>
    <w:p w14:paraId="0FA68EB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359A20B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3360A16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96E28F2">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3FFCA173">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52" w:name="_Toc16330028"/>
      <w:bookmarkStart w:id="153" w:name="_Toc30381"/>
      <w:bookmarkStart w:id="154" w:name="_Toc9708"/>
      <w:bookmarkStart w:id="155" w:name="_Toc27314"/>
      <w:r>
        <w:rPr>
          <w:rFonts w:hint="eastAsia" w:ascii="黑体" w:hAnsi="黑体" w:eastAsia="黑体" w:cstheme="minorEastAsia"/>
          <w:b w:val="0"/>
          <w:sz w:val="28"/>
          <w:szCs w:val="28"/>
        </w:rPr>
        <w:t>11 违约责任</w:t>
      </w:r>
      <w:bookmarkEnd w:id="152"/>
      <w:bookmarkEnd w:id="153"/>
      <w:bookmarkEnd w:id="154"/>
      <w:bookmarkEnd w:id="155"/>
    </w:p>
    <w:p w14:paraId="526035E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52986F1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4E591E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335A01D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E88C64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E4C9121">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3F004B7B">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68C9CFC1">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0FB72E2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5B09C38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601CF842">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7620E172">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56" w:name="_Toc16330029"/>
      <w:bookmarkStart w:id="157" w:name="_Toc9172"/>
      <w:bookmarkStart w:id="158" w:name="_Toc1827"/>
      <w:bookmarkStart w:id="159" w:name="_Toc31554"/>
      <w:r>
        <w:rPr>
          <w:rFonts w:hint="eastAsia" w:ascii="黑体" w:hAnsi="黑体" w:eastAsia="黑体" w:cstheme="minorEastAsia"/>
          <w:b w:val="0"/>
          <w:sz w:val="28"/>
          <w:szCs w:val="28"/>
        </w:rPr>
        <w:t>12 合同的终止与解除</w:t>
      </w:r>
      <w:bookmarkEnd w:id="156"/>
      <w:bookmarkEnd w:id="157"/>
      <w:bookmarkEnd w:id="158"/>
      <w:bookmarkEnd w:id="159"/>
    </w:p>
    <w:p w14:paraId="5FB2F6E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5B44162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0739A436">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4EFC649A">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5D91E50E">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127B17C8">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58D0A75A">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383549F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6A91D0F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0613C90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21368C4F">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6BF3A6C9">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60" w:name="_Toc8620"/>
      <w:bookmarkStart w:id="161" w:name="_Toc16330030"/>
      <w:bookmarkStart w:id="162" w:name="_Toc13671"/>
      <w:bookmarkStart w:id="163" w:name="_Toc31945"/>
      <w:r>
        <w:rPr>
          <w:rFonts w:hint="eastAsia" w:ascii="黑体" w:hAnsi="黑体" w:eastAsia="黑体" w:cstheme="minorEastAsia"/>
          <w:b w:val="0"/>
          <w:sz w:val="28"/>
          <w:szCs w:val="28"/>
        </w:rPr>
        <w:t>13 不可抗力</w:t>
      </w:r>
      <w:bookmarkEnd w:id="160"/>
      <w:bookmarkEnd w:id="161"/>
      <w:bookmarkEnd w:id="162"/>
      <w:bookmarkEnd w:id="163"/>
    </w:p>
    <w:p w14:paraId="02A223B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49F7BCD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57D3F14E">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64" w:name="_Toc637"/>
      <w:bookmarkStart w:id="165" w:name="_Toc30389"/>
      <w:bookmarkStart w:id="166" w:name="_Toc16330031"/>
      <w:bookmarkStart w:id="167" w:name="_Toc31243"/>
      <w:r>
        <w:rPr>
          <w:rFonts w:hint="eastAsia" w:ascii="黑体" w:hAnsi="黑体" w:eastAsia="黑体" w:cstheme="minorEastAsia"/>
          <w:b w:val="0"/>
          <w:sz w:val="28"/>
          <w:szCs w:val="28"/>
        </w:rPr>
        <w:t>14 通讯</w:t>
      </w:r>
      <w:bookmarkEnd w:id="164"/>
      <w:bookmarkEnd w:id="165"/>
      <w:bookmarkEnd w:id="166"/>
      <w:bookmarkEnd w:id="167"/>
    </w:p>
    <w:p w14:paraId="2C2033D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3ADA5C2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73A1F22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13AAB19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1D57BC4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3E3B6E7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04C1D9D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0DBFD85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7FD32307">
      <w:pPr>
        <w:pStyle w:val="4"/>
        <w:tabs>
          <w:tab w:val="right" w:leader="dot" w:pos="9061"/>
        </w:tabs>
        <w:spacing w:before="312" w:beforeLines="100"/>
        <w:rPr>
          <w:rFonts w:ascii="黑体" w:hAnsi="黑体" w:eastAsia="黑体" w:cstheme="minorEastAsia"/>
          <w:b w:val="0"/>
          <w:sz w:val="28"/>
          <w:szCs w:val="28"/>
        </w:rPr>
      </w:pPr>
      <w:bookmarkStart w:id="168" w:name="_Toc16330032"/>
      <w:bookmarkStart w:id="169" w:name="_Toc9915"/>
      <w:bookmarkStart w:id="170" w:name="_Toc12984"/>
      <w:bookmarkStart w:id="171" w:name="_Toc11290"/>
      <w:r>
        <w:rPr>
          <w:rFonts w:hint="eastAsia" w:ascii="黑体" w:hAnsi="黑体" w:eastAsia="黑体" w:cstheme="minorEastAsia"/>
          <w:b w:val="0"/>
          <w:sz w:val="28"/>
          <w:szCs w:val="28"/>
        </w:rPr>
        <w:t>15 适用法律及争议解决</w:t>
      </w:r>
      <w:bookmarkEnd w:id="168"/>
      <w:bookmarkEnd w:id="169"/>
      <w:bookmarkEnd w:id="170"/>
      <w:bookmarkEnd w:id="171"/>
    </w:p>
    <w:p w14:paraId="45856DE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745F071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609CC42B">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72" w:name="_Toc16330033"/>
      <w:bookmarkStart w:id="173" w:name="_Toc23765"/>
      <w:bookmarkStart w:id="174" w:name="_Toc18207"/>
      <w:bookmarkStart w:id="175" w:name="_Toc23906"/>
      <w:r>
        <w:rPr>
          <w:rFonts w:hint="eastAsia" w:ascii="黑体" w:hAnsi="黑体" w:eastAsia="黑体" w:cstheme="minorEastAsia"/>
          <w:b w:val="0"/>
          <w:sz w:val="28"/>
          <w:szCs w:val="28"/>
        </w:rPr>
        <w:t>16 附件</w:t>
      </w:r>
      <w:bookmarkEnd w:id="172"/>
      <w:bookmarkEnd w:id="173"/>
      <w:bookmarkEnd w:id="174"/>
      <w:bookmarkEnd w:id="175"/>
    </w:p>
    <w:p w14:paraId="70A555F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5A3C04D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09B4975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0B543EE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53D94EA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6581E84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7778B5D5">
      <w:pPr>
        <w:pStyle w:val="4"/>
        <w:tabs>
          <w:tab w:val="right" w:leader="dot" w:pos="9061"/>
        </w:tabs>
        <w:spacing w:before="312" w:beforeLines="100"/>
        <w:ind w:firstLine="529" w:firstLineChars="189"/>
        <w:rPr>
          <w:rFonts w:ascii="黑体" w:hAnsi="黑体" w:eastAsia="黑体" w:cstheme="minorEastAsia"/>
          <w:b w:val="0"/>
          <w:sz w:val="28"/>
          <w:szCs w:val="28"/>
        </w:rPr>
      </w:pPr>
      <w:bookmarkStart w:id="176" w:name="_Toc16330034"/>
      <w:bookmarkStart w:id="177" w:name="_Toc27202"/>
      <w:bookmarkStart w:id="178" w:name="_Toc31331"/>
      <w:bookmarkStart w:id="179" w:name="_Toc17656"/>
      <w:r>
        <w:rPr>
          <w:rFonts w:hint="eastAsia" w:ascii="黑体" w:hAnsi="黑体" w:eastAsia="黑体" w:cstheme="minorEastAsia"/>
          <w:b w:val="0"/>
          <w:sz w:val="28"/>
          <w:szCs w:val="28"/>
        </w:rPr>
        <w:t>17 其他规定</w:t>
      </w:r>
      <w:bookmarkEnd w:id="176"/>
      <w:bookmarkEnd w:id="177"/>
      <w:bookmarkEnd w:id="178"/>
      <w:bookmarkEnd w:id="179"/>
    </w:p>
    <w:p w14:paraId="072F2BD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1FBBFDB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1D111F9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6C7CCAA">
      <w:pPr>
        <w:spacing w:line="360" w:lineRule="auto"/>
        <w:ind w:firstLine="453" w:firstLineChars="189"/>
        <w:rPr>
          <w:rFonts w:ascii="仿宋_GB2312" w:eastAsia="仿宋_GB2312" w:hAnsiTheme="minorEastAsia" w:cstheme="minorEastAsia"/>
          <w:sz w:val="24"/>
          <w:szCs w:val="24"/>
        </w:rPr>
      </w:pPr>
      <w:bookmarkStart w:id="180" w:name="_Toc16330035"/>
      <w:bookmarkStart w:id="181" w:name="_Toc17952"/>
      <w:bookmarkStart w:id="182" w:name="_Toc19077"/>
      <w:bookmarkStart w:id="183"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579A766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8254770">
      <w:pPr>
        <w:pStyle w:val="4"/>
        <w:tabs>
          <w:tab w:val="right" w:leader="dot" w:pos="9061"/>
        </w:tabs>
        <w:spacing w:before="312"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80"/>
      <w:bookmarkEnd w:id="181"/>
      <w:bookmarkEnd w:id="182"/>
      <w:bookmarkEnd w:id="183"/>
    </w:p>
    <w:p w14:paraId="01FB096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361819A1">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EEF5259">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740AC0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4C187B1C">
      <w:pPr>
        <w:spacing w:line="360" w:lineRule="auto"/>
        <w:ind w:firstLine="420" w:firstLineChars="200"/>
        <w:rPr>
          <w:rFonts w:asciiTheme="minorEastAsia" w:hAnsiTheme="minorEastAsia" w:cstheme="minorEastAsia"/>
          <w:sz w:val="20"/>
          <w:szCs w:val="20"/>
        </w:rPr>
      </w:pPr>
      <w:r>
        <w:rPr>
          <w:rFonts w:hint="eastAsia"/>
        </w:rPr>
        <w:t xml:space="preserve">    </w:t>
      </w:r>
    </w:p>
    <w:p w14:paraId="5B1082A5">
      <w:pPr>
        <w:spacing w:line="360" w:lineRule="auto"/>
        <w:rPr>
          <w:rFonts w:ascii="宋体" w:hAnsi="宋体"/>
          <w:snapToGrid w:val="0"/>
          <w:kern w:val="0"/>
          <w:sz w:val="20"/>
          <w:szCs w:val="20"/>
          <w:lang w:eastAsia="zh-Hans"/>
        </w:rPr>
      </w:pPr>
    </w:p>
    <w:p w14:paraId="6552B64E">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6A3A1279">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0D6F4EF0">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0F8F607D">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75F70931">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5AA27DF0">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0AE124AF">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6E13C487">
      <w:pPr>
        <w:spacing w:line="360" w:lineRule="auto"/>
        <w:rPr>
          <w:rFonts w:ascii="仿宋_GB2312" w:eastAsia="仿宋_GB2312"/>
          <w:sz w:val="24"/>
          <w:szCs w:val="24"/>
        </w:rPr>
      </w:pPr>
    </w:p>
    <w:p w14:paraId="71411368">
      <w:pPr>
        <w:pStyle w:val="4"/>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319EBF6D"/>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2656B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894A4D1">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2788915">
            <w:pPr>
              <w:pStyle w:val="34"/>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1A8A577B">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50BD7829">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B8D739B">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683985B">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321DF1FA">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738FECED">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727A902B">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28CC9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500F840">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5FA99D25">
            <w:pPr>
              <w:pStyle w:val="34"/>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EA62D3F">
            <w:pPr>
              <w:pStyle w:val="34"/>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70254B49">
            <w:pPr>
              <w:pStyle w:val="34"/>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3FA0E5EE">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16BB3E9">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94DA28D">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461F0C7">
            <w:pPr>
              <w:pStyle w:val="34"/>
              <w:spacing w:line="360" w:lineRule="auto"/>
              <w:ind w:left="480" w:hanging="480"/>
              <w:jc w:val="center"/>
              <w:rPr>
                <w:rFonts w:ascii="仿宋_GB2312" w:eastAsia="仿宋_GB2312" w:hAnsiTheme="minorEastAsia" w:cstheme="minorEastAsia"/>
                <w:sz w:val="24"/>
                <w:szCs w:val="24"/>
              </w:rPr>
            </w:pPr>
          </w:p>
        </w:tc>
      </w:tr>
      <w:tr w14:paraId="3EF13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E99BAAE">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1865392E">
            <w:pPr>
              <w:pStyle w:val="34"/>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4043ECD6">
            <w:pPr>
              <w:pStyle w:val="34"/>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3F2B0C23">
            <w:pPr>
              <w:pStyle w:val="34"/>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4534495">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777D9D5">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1CD05452">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D0E293D">
            <w:pPr>
              <w:pStyle w:val="34"/>
              <w:spacing w:line="360" w:lineRule="auto"/>
              <w:ind w:left="480" w:hanging="480"/>
              <w:jc w:val="center"/>
              <w:rPr>
                <w:rFonts w:ascii="仿宋_GB2312" w:eastAsia="仿宋_GB2312" w:hAnsiTheme="minorEastAsia" w:cstheme="minorEastAsia"/>
                <w:sz w:val="24"/>
                <w:szCs w:val="24"/>
              </w:rPr>
            </w:pPr>
          </w:p>
        </w:tc>
      </w:tr>
      <w:tr w14:paraId="7A7E3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A9FB959">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6B07B7CA">
            <w:pPr>
              <w:pStyle w:val="34"/>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55691328">
            <w:pPr>
              <w:pStyle w:val="34"/>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60AEB984">
            <w:pPr>
              <w:pStyle w:val="34"/>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0B052ABF">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289DD62">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26224CFA">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1ACACD2">
            <w:pPr>
              <w:pStyle w:val="34"/>
              <w:spacing w:line="360" w:lineRule="auto"/>
              <w:ind w:left="480" w:hanging="480"/>
              <w:jc w:val="center"/>
              <w:rPr>
                <w:rFonts w:ascii="仿宋_GB2312" w:eastAsia="仿宋_GB2312" w:hAnsiTheme="minorEastAsia" w:cstheme="minorEastAsia"/>
                <w:sz w:val="24"/>
                <w:szCs w:val="24"/>
              </w:rPr>
            </w:pPr>
          </w:p>
        </w:tc>
      </w:tr>
      <w:tr w14:paraId="3BC0B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2E2B01E">
            <w:pPr>
              <w:pStyle w:val="34"/>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681C1E01">
            <w:pPr>
              <w:pStyle w:val="34"/>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28CD4FE6">
            <w:pPr>
              <w:pStyle w:val="34"/>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58427914">
            <w:pPr>
              <w:pStyle w:val="34"/>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43DC5B55">
            <w:pPr>
              <w:pStyle w:val="34"/>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3D8E86B">
            <w:pPr>
              <w:spacing w:line="360" w:lineRule="auto"/>
              <w:jc w:val="center"/>
              <w:rPr>
                <w:rFonts w:ascii="仿宋_GB2312" w:eastAsia="仿宋_GB2312" w:hAnsiTheme="minorEastAsia" w:cstheme="minorEastAsia"/>
                <w:sz w:val="24"/>
                <w:szCs w:val="24"/>
              </w:rPr>
            </w:pPr>
          </w:p>
        </w:tc>
        <w:tc>
          <w:tcPr>
            <w:tcW w:w="708" w:type="dxa"/>
            <w:vAlign w:val="center"/>
          </w:tcPr>
          <w:p w14:paraId="134C55C6">
            <w:pPr>
              <w:spacing w:line="360" w:lineRule="auto"/>
              <w:jc w:val="center"/>
              <w:rPr>
                <w:rFonts w:ascii="仿宋_GB2312" w:eastAsia="仿宋_GB2312" w:hAnsiTheme="minorEastAsia" w:cstheme="minorEastAsia"/>
                <w:sz w:val="24"/>
                <w:szCs w:val="24"/>
              </w:rPr>
            </w:pPr>
          </w:p>
        </w:tc>
        <w:tc>
          <w:tcPr>
            <w:tcW w:w="708" w:type="dxa"/>
            <w:vAlign w:val="center"/>
          </w:tcPr>
          <w:p w14:paraId="3907BD4D">
            <w:pPr>
              <w:spacing w:line="360" w:lineRule="auto"/>
              <w:jc w:val="center"/>
              <w:rPr>
                <w:rFonts w:ascii="仿宋_GB2312" w:eastAsia="仿宋_GB2312" w:hAnsiTheme="minorEastAsia" w:cstheme="minorEastAsia"/>
                <w:sz w:val="24"/>
                <w:szCs w:val="24"/>
              </w:rPr>
            </w:pPr>
          </w:p>
        </w:tc>
      </w:tr>
    </w:tbl>
    <w:p w14:paraId="70B3137D">
      <w:pPr>
        <w:rPr>
          <w:rFonts w:ascii="黑体" w:hAnsi="黑体" w:eastAsia="黑体" w:cstheme="minorEastAsia"/>
          <w:bCs/>
          <w:i/>
          <w:sz w:val="28"/>
          <w:szCs w:val="28"/>
        </w:rPr>
      </w:pPr>
      <w:bookmarkStart w:id="184" w:name="_Toc24623"/>
      <w:bookmarkStart w:id="185" w:name="_Toc3778"/>
      <w:bookmarkStart w:id="186" w:name="_Toc25120"/>
      <w:bookmarkStart w:id="187" w:name="_Toc16330037"/>
      <w:bookmarkStart w:id="188" w:name="_Toc5379"/>
      <w:r>
        <w:rPr>
          <w:rFonts w:hint="eastAsia" w:ascii="黑体" w:hAnsi="黑体" w:eastAsia="黑体" w:cstheme="minorEastAsia"/>
          <w:sz w:val="28"/>
          <w:szCs w:val="28"/>
        </w:rPr>
        <w:t xml:space="preserve">附件二 </w:t>
      </w:r>
      <w:bookmarkEnd w:id="184"/>
      <w:bookmarkEnd w:id="185"/>
      <w:bookmarkEnd w:id="186"/>
      <w:bookmarkEnd w:id="187"/>
      <w:bookmarkEnd w:id="188"/>
      <w:r>
        <w:rPr>
          <w:rFonts w:hint="eastAsia" w:ascii="黑体" w:hAnsi="黑体" w:eastAsia="黑体" w:cstheme="minorEastAsia"/>
          <w:sz w:val="28"/>
          <w:szCs w:val="28"/>
        </w:rPr>
        <w:t>技术协议书</w:t>
      </w:r>
    </w:p>
    <w:p w14:paraId="0D45E347">
      <w:pPr>
        <w:ind w:right="360"/>
        <w:rPr>
          <w:rFonts w:asciiTheme="minorEastAsia" w:hAnsiTheme="minorEastAsia" w:cstheme="minorEastAsia"/>
          <w:sz w:val="20"/>
          <w:szCs w:val="20"/>
        </w:rPr>
      </w:pPr>
    </w:p>
    <w:p w14:paraId="5BD463FB">
      <w:pPr>
        <w:jc w:val="right"/>
        <w:rPr>
          <w:rFonts w:asciiTheme="minorEastAsia" w:hAnsiTheme="minorEastAsia" w:cstheme="minorEastAsia"/>
          <w:sz w:val="20"/>
          <w:szCs w:val="20"/>
        </w:rPr>
      </w:pPr>
    </w:p>
    <w:p w14:paraId="1D0691BB">
      <w:pPr>
        <w:jc w:val="right"/>
        <w:rPr>
          <w:rFonts w:asciiTheme="minorEastAsia" w:hAnsiTheme="minorEastAsia" w:cstheme="minorEastAsia"/>
          <w:sz w:val="20"/>
          <w:szCs w:val="20"/>
        </w:rPr>
      </w:pPr>
    </w:p>
    <w:p w14:paraId="346C07C9">
      <w:pPr>
        <w:jc w:val="right"/>
        <w:rPr>
          <w:rFonts w:asciiTheme="minorEastAsia" w:hAnsiTheme="minorEastAsia" w:cstheme="minorEastAsia"/>
          <w:sz w:val="20"/>
          <w:szCs w:val="20"/>
        </w:rPr>
      </w:pPr>
      <w:r>
        <w:rPr>
          <w:rFonts w:hint="eastAsia" w:asciiTheme="minorEastAsia" w:hAnsiTheme="minorEastAsia" w:cstheme="minorEastAsia"/>
          <w:sz w:val="20"/>
          <w:szCs w:val="20"/>
        </w:rPr>
        <w:t xml:space="preserve">                                      </w:t>
      </w:r>
    </w:p>
    <w:p w14:paraId="67543DF6">
      <w:pPr>
        <w:jc w:val="right"/>
        <w:rPr>
          <w:rFonts w:asciiTheme="minorEastAsia" w:hAnsiTheme="minorEastAsia" w:cstheme="minorEastAsia"/>
          <w:sz w:val="20"/>
          <w:szCs w:val="20"/>
        </w:rPr>
      </w:pPr>
    </w:p>
    <w:p w14:paraId="7B2D2321">
      <w:pPr>
        <w:wordWrap w:val="0"/>
        <w:ind w:right="480"/>
        <w:rPr>
          <w:rFonts w:asciiTheme="minorEastAsia" w:hAnsiTheme="minorEastAsia" w:cstheme="minorEastAsia"/>
          <w:sz w:val="20"/>
          <w:szCs w:val="20"/>
        </w:rPr>
      </w:pPr>
    </w:p>
    <w:p w14:paraId="461B4860">
      <w:pPr>
        <w:jc w:val="right"/>
        <w:rPr>
          <w:rFonts w:ascii="楷体_GB2312" w:hAnsi="宋体" w:eastAsia="楷体_GB2312"/>
          <w:sz w:val="24"/>
        </w:rPr>
      </w:pPr>
      <w:bookmarkStart w:id="189" w:name="_Toc14341849"/>
    </w:p>
    <w:p w14:paraId="0E933783">
      <w:pPr>
        <w:ind w:right="480"/>
        <w:jc w:val="center"/>
        <w:rPr>
          <w:sz w:val="24"/>
          <w:szCs w:val="24"/>
        </w:rPr>
      </w:pPr>
      <w:r>
        <w:rPr>
          <w:rFonts w:hint="eastAsia" w:ascii="楷体_GB2312" w:hAnsi="宋体" w:eastAsia="楷体_GB2312"/>
          <w:sz w:val="24"/>
        </w:rPr>
        <w:t xml:space="preserve">                                    </w:t>
      </w:r>
    </w:p>
    <w:bookmarkEnd w:id="189"/>
    <w:p w14:paraId="2CF03711">
      <w:pPr>
        <w:rPr>
          <w:rFonts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4EE88E02">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0643D196">
      <w:pPr>
        <w:pStyle w:val="19"/>
        <w:spacing w:before="8" w:after="156"/>
        <w:rPr>
          <w:rFonts w:ascii="楷体" w:hAnsi="楷体" w:eastAsia="楷体" w:cs="楷体"/>
          <w:sz w:val="44"/>
          <w:szCs w:val="28"/>
        </w:rPr>
      </w:pPr>
    </w:p>
    <w:p w14:paraId="53478AF7">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47AF849C">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0A4270EF">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1D32876C">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5D14169">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4774745B">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6F120560">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2469E0CB">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4C34B5C3">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435AD543">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2B220C28">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29939F6F">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49C5B68E">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29815AF0">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22D0B574">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28D454BA">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203C82B4">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2553408E">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2D5897EB">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1A873EA4">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F21F0DB">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466D558D">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1479B2E">
      <w:pPr>
        <w:pStyle w:val="135"/>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333180CF">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F8E4D04">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69E2E35">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0CC3404">
      <w:pPr>
        <w:pStyle w:val="135"/>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21A0E8AF">
      <w:pPr>
        <w:pStyle w:val="19"/>
        <w:spacing w:before="9" w:after="156"/>
        <w:rPr>
          <w:rFonts w:ascii="楷体" w:hAnsi="楷体" w:eastAsia="楷体" w:cs="楷体"/>
          <w:sz w:val="40"/>
          <w:szCs w:val="28"/>
        </w:rPr>
      </w:pPr>
    </w:p>
    <w:p w14:paraId="60446F7E">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157AC901">
      <w:pPr>
        <w:pStyle w:val="19"/>
        <w:spacing w:after="156"/>
        <w:rPr>
          <w:rFonts w:ascii="楷体" w:hAnsi="楷体" w:eastAsia="楷体" w:cs="楷体"/>
          <w:b/>
          <w:sz w:val="24"/>
          <w:szCs w:val="28"/>
        </w:rPr>
      </w:pPr>
    </w:p>
    <w:p w14:paraId="0D19CD99">
      <w:pPr>
        <w:pStyle w:val="19"/>
        <w:spacing w:before="1" w:after="156"/>
        <w:rPr>
          <w:rFonts w:ascii="楷体" w:hAnsi="楷体" w:eastAsia="楷体" w:cs="楷体"/>
          <w:b/>
          <w:sz w:val="24"/>
          <w:szCs w:val="28"/>
        </w:rPr>
      </w:pPr>
    </w:p>
    <w:p w14:paraId="7C390393">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1A99FC60">
      <w:pPr>
        <w:pStyle w:val="19"/>
        <w:spacing w:after="156"/>
        <w:rPr>
          <w:rFonts w:ascii="楷体" w:hAnsi="楷体" w:eastAsia="楷体" w:cs="楷体"/>
          <w:b/>
          <w:sz w:val="24"/>
          <w:szCs w:val="28"/>
        </w:rPr>
      </w:pPr>
    </w:p>
    <w:p w14:paraId="0CCB42CD">
      <w:pPr>
        <w:pStyle w:val="19"/>
        <w:spacing w:before="4" w:after="156"/>
        <w:rPr>
          <w:rFonts w:ascii="楷体" w:hAnsi="楷体" w:eastAsia="楷体" w:cs="楷体"/>
          <w:b/>
          <w:sz w:val="24"/>
          <w:szCs w:val="28"/>
        </w:rPr>
      </w:pPr>
    </w:p>
    <w:p w14:paraId="1301D77B">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555C5660">
      <w:pPr>
        <w:tabs>
          <w:tab w:val="left" w:pos="5457"/>
        </w:tabs>
        <w:ind w:left="117"/>
        <w:rPr>
          <w:rFonts w:ascii="楷体" w:hAnsi="楷体" w:eastAsia="楷体" w:cs="楷体"/>
          <w:b/>
          <w:sz w:val="24"/>
          <w:szCs w:val="21"/>
        </w:rPr>
      </w:pPr>
    </w:p>
    <w:p w14:paraId="61440BD7">
      <w:pPr>
        <w:keepNext/>
        <w:keepLines/>
        <w:jc w:val="center"/>
        <w:outlineLvl w:val="0"/>
        <w:rPr>
          <w:rFonts w:ascii="Calibri" w:hAnsi="Calibri" w:eastAsia="宋体" w:cs="Times New Roman"/>
          <w:b/>
          <w:bCs/>
          <w:kern w:val="44"/>
          <w:sz w:val="36"/>
          <w:szCs w:val="44"/>
        </w:rPr>
        <w:sectPr>
          <w:footerReference r:id="rId18" w:type="first"/>
          <w:headerReference r:id="rId16" w:type="default"/>
          <w:footerReference r:id="rId17" w:type="default"/>
          <w:pgSz w:w="11906" w:h="16838"/>
          <w:pgMar w:top="1588" w:right="1418" w:bottom="1134" w:left="1418" w:header="851" w:footer="992" w:gutter="0"/>
          <w:cols w:space="720" w:num="1"/>
          <w:titlePg/>
          <w:docGrid w:type="lines" w:linePitch="312" w:charSpace="0"/>
        </w:sectPr>
      </w:pPr>
    </w:p>
    <w:p w14:paraId="6FDEC98A">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9"/>
    </w:p>
    <w:p w14:paraId="32BEB5B7">
      <w:pPr>
        <w:keepNext/>
        <w:keepLines/>
        <w:rPr>
          <w:rFonts w:ascii="Times New Roman" w:hAnsi="Times New Roman" w:eastAsia="宋体" w:cs="Times New Roman"/>
          <w:b/>
          <w:bCs/>
          <w:color w:val="000000"/>
          <w:sz w:val="24"/>
          <w:szCs w:val="24"/>
        </w:rPr>
      </w:pPr>
    </w:p>
    <w:p w14:paraId="362B424E">
      <w:pPr>
        <w:pStyle w:val="2"/>
        <w:rPr>
          <w:rFonts w:ascii="Times New Roman" w:hAnsi="Times New Roman" w:eastAsia="宋体" w:cs="Times New Roman"/>
          <w:b/>
          <w:bCs/>
          <w:color w:val="000000"/>
          <w:sz w:val="24"/>
          <w:szCs w:val="24"/>
        </w:rPr>
      </w:pPr>
    </w:p>
    <w:p w14:paraId="6030762F">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4C95F7E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5B92771B">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ED7E870">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25A2923C">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5828C0AD">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0A906517">
      <w:pPr>
        <w:pStyle w:val="2"/>
        <w:rPr>
          <w:rFonts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14:paraId="6CFD2A8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90" w:name="_Toc212369550"/>
      <w:bookmarkStart w:id="191" w:name="_Toc639004"/>
      <w:bookmarkStart w:id="192" w:name="_Toc25811"/>
      <w:bookmarkStart w:id="193"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90"/>
      <w:bookmarkEnd w:id="191"/>
      <w:bookmarkEnd w:id="192"/>
      <w:bookmarkEnd w:id="193"/>
    </w:p>
    <w:p w14:paraId="4101D10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5ED939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rPr>
        <w:t>产品试验检测中心气压脉冲试验台、座椅头枕强度试验台、多楔带试验台项目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7A771A3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023C1E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0C1201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F40C68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2DBDDB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A6B949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4F5E51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1F19E4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707758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16FBA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EE54B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A64F5C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17445A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45CD19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5515A8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6A0A15A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5A37EB1">
      <w:pPr>
        <w:rPr>
          <w:rFonts w:ascii="黑体" w:hAnsi="Calibri" w:eastAsia="黑体" w:cs="Times New Roman"/>
          <w:color w:val="000000"/>
          <w:sz w:val="24"/>
          <w:szCs w:val="24"/>
        </w:rPr>
      </w:pPr>
    </w:p>
    <w:p w14:paraId="4C3A010F">
      <w:pPr>
        <w:rPr>
          <w:rFonts w:ascii="黑体" w:hAnsi="Calibri" w:eastAsia="黑体" w:cs="Times New Roman"/>
          <w:color w:val="000000"/>
          <w:sz w:val="24"/>
          <w:szCs w:val="24"/>
        </w:rPr>
      </w:pPr>
    </w:p>
    <w:p w14:paraId="132532CD">
      <w:pPr>
        <w:pStyle w:val="2"/>
        <w:rPr>
          <w:rFonts w:ascii="黑体" w:hAnsi="Calibri" w:eastAsia="黑体" w:cs="Times New Roman"/>
          <w:color w:val="000000"/>
          <w:sz w:val="24"/>
          <w:szCs w:val="24"/>
        </w:rPr>
      </w:pPr>
    </w:p>
    <w:p w14:paraId="4CAF1F8C">
      <w:pPr>
        <w:pStyle w:val="2"/>
        <w:rPr>
          <w:rFonts w:ascii="黑体" w:hAnsi="Calibri" w:eastAsia="黑体" w:cs="Times New Roman"/>
          <w:color w:val="000000"/>
          <w:sz w:val="24"/>
          <w:szCs w:val="24"/>
        </w:rPr>
      </w:pPr>
    </w:p>
    <w:p w14:paraId="4CAE0D33">
      <w:pPr>
        <w:pStyle w:val="2"/>
        <w:rPr>
          <w:rFonts w:ascii="黑体" w:hAnsi="Calibri" w:eastAsia="黑体" w:cs="Times New Roman"/>
          <w:color w:val="000000"/>
          <w:sz w:val="24"/>
          <w:szCs w:val="24"/>
        </w:rPr>
      </w:pPr>
    </w:p>
    <w:p w14:paraId="5CD90B30">
      <w:pPr>
        <w:pStyle w:val="2"/>
        <w:rPr>
          <w:rFonts w:ascii="黑体" w:hAnsi="Calibri" w:eastAsia="黑体" w:cs="Times New Roman"/>
          <w:color w:val="000000"/>
          <w:sz w:val="24"/>
          <w:szCs w:val="24"/>
        </w:rPr>
      </w:pPr>
    </w:p>
    <w:p w14:paraId="32E49594">
      <w:pPr>
        <w:rPr>
          <w:rFonts w:ascii="黑体" w:hAnsi="Calibri" w:eastAsia="黑体" w:cs="Times New Roman"/>
          <w:color w:val="000000"/>
          <w:sz w:val="24"/>
          <w:szCs w:val="24"/>
        </w:rPr>
      </w:pPr>
    </w:p>
    <w:p w14:paraId="0B055B4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314A470">
      <w:pPr>
        <w:adjustRightInd w:val="0"/>
        <w:snapToGrid w:val="0"/>
        <w:spacing w:before="93" w:beforeLines="30" w:line="240" w:lineRule="exact"/>
        <w:jc w:val="center"/>
        <w:rPr>
          <w:rFonts w:ascii="宋体" w:hAnsi="Calibri" w:eastAsia="宋体" w:cs="Times New Roman"/>
          <w:sz w:val="24"/>
          <w:szCs w:val="20"/>
        </w:rPr>
      </w:pPr>
    </w:p>
    <w:p w14:paraId="31B87D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rPr>
        <w:t>产品试验检测中心环保视频监控项目</w:t>
      </w:r>
      <w:r>
        <w:rPr>
          <w:rFonts w:hint="eastAsia" w:ascii="宋体" w:hAnsi="宋体" w:eastAsia="宋体" w:cs="Times New Roman"/>
          <w:color w:val="000000"/>
          <w:sz w:val="24"/>
          <w:szCs w:val="24"/>
        </w:rPr>
        <w:t>（</w:t>
      </w:r>
      <w:r>
        <w:rPr>
          <w:rFonts w:hint="eastAsia" w:ascii="宋体" w:hAnsi="宋体" w:eastAsia="宋体" w:cs="Times New Roman"/>
          <w:sz w:val="24"/>
          <w:szCs w:val="24"/>
        </w:rPr>
        <w:t>CGZX2024090238</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BA13B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D2139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A8E1E04">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32E3EDC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9D5EB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48FCF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9667B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2320FA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5E99CD9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2E8D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9BEB96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9B36CB8">
      <w:pPr>
        <w:rPr>
          <w:rFonts w:ascii="Calibri" w:hAnsi="Calibri" w:eastAsia="黑体" w:cs="Times New Roman"/>
          <w:b/>
          <w:bCs/>
          <w:color w:val="000000"/>
          <w:sz w:val="28"/>
          <w:szCs w:val="20"/>
        </w:rPr>
      </w:pPr>
    </w:p>
    <w:p w14:paraId="6951789D">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027BE6D6">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5CEFF0F">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3B3D1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trPr>
        <w:tc>
          <w:tcPr>
            <w:tcW w:w="1956" w:type="dxa"/>
          </w:tcPr>
          <w:p w14:paraId="65128323">
            <w:pPr>
              <w:pStyle w:val="139"/>
              <w:spacing w:before="114"/>
              <w:ind w:left="720"/>
            </w:pPr>
            <w:r>
              <w:t xml:space="preserve">企业名称 </w:t>
            </w:r>
          </w:p>
        </w:tc>
        <w:tc>
          <w:tcPr>
            <w:tcW w:w="4680" w:type="dxa"/>
            <w:gridSpan w:val="4"/>
            <w:vAlign w:val="center"/>
          </w:tcPr>
          <w:p w14:paraId="1CC2C83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250402C">
            <w:pPr>
              <w:pStyle w:val="13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5BFE18E">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75E50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7EFE742">
            <w:pPr>
              <w:pStyle w:val="139"/>
              <w:spacing w:before="114"/>
              <w:ind w:left="720"/>
            </w:pPr>
            <w:r>
              <w:t xml:space="preserve">企业地址 </w:t>
            </w:r>
          </w:p>
        </w:tc>
        <w:tc>
          <w:tcPr>
            <w:tcW w:w="4680" w:type="dxa"/>
            <w:gridSpan w:val="4"/>
            <w:vAlign w:val="center"/>
          </w:tcPr>
          <w:p w14:paraId="2AEC4A93">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54806083">
            <w:pPr>
              <w:pStyle w:val="13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0460F59D">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5636B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8FC98C0">
            <w:pPr>
              <w:pStyle w:val="139"/>
              <w:spacing w:before="111"/>
              <w:ind w:left="720"/>
            </w:pPr>
            <w:r>
              <w:t xml:space="preserve">企业性质 </w:t>
            </w:r>
          </w:p>
        </w:tc>
        <w:tc>
          <w:tcPr>
            <w:tcW w:w="4680" w:type="dxa"/>
            <w:gridSpan w:val="4"/>
            <w:vAlign w:val="center"/>
          </w:tcPr>
          <w:p w14:paraId="411DDADC">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4EA44A17">
            <w:pPr>
              <w:pStyle w:val="139"/>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1C3B68">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9A694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3D1C1EF">
            <w:pPr>
              <w:pStyle w:val="139"/>
              <w:spacing w:before="111"/>
              <w:ind w:left="509"/>
              <w:rPr>
                <w:highlight w:val="yellow"/>
              </w:rPr>
            </w:pPr>
            <w:r>
              <w:t xml:space="preserve">企业法人代表  </w:t>
            </w:r>
          </w:p>
        </w:tc>
        <w:tc>
          <w:tcPr>
            <w:tcW w:w="4680" w:type="dxa"/>
            <w:gridSpan w:val="4"/>
          </w:tcPr>
          <w:p w14:paraId="7D932F6A">
            <w:pPr>
              <w:pStyle w:val="5"/>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4AB3F301">
            <w:pPr>
              <w:pStyle w:val="139"/>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34B9F3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9B23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031D9B1">
            <w:pPr>
              <w:pStyle w:val="139"/>
              <w:spacing w:before="114"/>
              <w:ind w:left="720"/>
            </w:pPr>
            <w:r>
              <w:t xml:space="preserve">品牌区分 </w:t>
            </w:r>
          </w:p>
        </w:tc>
        <w:tc>
          <w:tcPr>
            <w:tcW w:w="7500" w:type="dxa"/>
            <w:gridSpan w:val="6"/>
          </w:tcPr>
          <w:p w14:paraId="728BC37E">
            <w:pPr>
              <w:pStyle w:val="139"/>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2CA9C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7F5FEA3">
            <w:pPr>
              <w:pStyle w:val="139"/>
              <w:spacing w:before="178"/>
              <w:ind w:left="720"/>
            </w:pPr>
            <w:r>
              <w:t xml:space="preserve">品牌名称 </w:t>
            </w:r>
          </w:p>
        </w:tc>
        <w:tc>
          <w:tcPr>
            <w:tcW w:w="3583" w:type="dxa"/>
            <w:gridSpan w:val="3"/>
            <w:vAlign w:val="center"/>
          </w:tcPr>
          <w:p w14:paraId="76F73461">
            <w:pPr>
              <w:widowControl/>
              <w:rPr>
                <w:rFonts w:ascii="宋体" w:hAnsi="宋体" w:eastAsia="仿宋_GB2312"/>
                <w:kern w:val="0"/>
                <w:szCs w:val="21"/>
                <w:lang w:bidi="ar"/>
              </w:rPr>
            </w:pPr>
          </w:p>
        </w:tc>
        <w:tc>
          <w:tcPr>
            <w:tcW w:w="1097" w:type="dxa"/>
          </w:tcPr>
          <w:p w14:paraId="0B48FE52">
            <w:pPr>
              <w:pStyle w:val="139"/>
              <w:spacing w:before="15"/>
              <w:ind w:left="279"/>
            </w:pPr>
            <w:r>
              <w:rPr>
                <w:spacing w:val="-2"/>
              </w:rPr>
              <w:t>质量</w:t>
            </w:r>
            <w:r>
              <w:t xml:space="preserve"> </w:t>
            </w:r>
          </w:p>
          <w:p w14:paraId="5B8B3221">
            <w:pPr>
              <w:pStyle w:val="139"/>
              <w:spacing w:before="30" w:line="277" w:lineRule="exact"/>
              <w:ind w:left="279"/>
            </w:pPr>
            <w:r>
              <w:rPr>
                <w:rFonts w:hint="eastAsia"/>
              </w:rPr>
              <w:t>体系</w:t>
            </w:r>
          </w:p>
        </w:tc>
        <w:tc>
          <w:tcPr>
            <w:tcW w:w="2820" w:type="dxa"/>
            <w:gridSpan w:val="2"/>
          </w:tcPr>
          <w:p w14:paraId="1A62869A">
            <w:pPr>
              <w:pStyle w:val="139"/>
              <w:spacing w:before="158"/>
              <w:jc w:val="center"/>
              <w:rPr>
                <w:sz w:val="24"/>
              </w:rPr>
            </w:pPr>
            <w:r>
              <w:rPr>
                <w:rFonts w:hint="eastAsia"/>
                <w:kern w:val="0"/>
                <w:szCs w:val="21"/>
                <w:lang w:bidi="ar"/>
              </w:rPr>
              <w:t>/</w:t>
            </w:r>
          </w:p>
        </w:tc>
      </w:tr>
      <w:tr w14:paraId="64053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CF21376">
            <w:pPr>
              <w:pStyle w:val="139"/>
              <w:spacing w:before="149"/>
              <w:ind w:left="3345" w:right="3223"/>
              <w:jc w:val="center"/>
            </w:pPr>
            <w:r>
              <w:rPr>
                <w:rFonts w:hint="eastAsia"/>
                <w:szCs w:val="21"/>
              </w:rPr>
              <w:t>单位概况</w:t>
            </w:r>
          </w:p>
        </w:tc>
      </w:tr>
      <w:tr w14:paraId="566FA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A8845C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2C232DDA">
            <w:pPr>
              <w:widowControl/>
              <w:textAlignment w:val="center"/>
              <w:rPr>
                <w:rFonts w:ascii="宋体" w:hAnsi="宋体" w:eastAsia="宋体" w:cs="宋体"/>
                <w:szCs w:val="21"/>
              </w:rPr>
            </w:pPr>
          </w:p>
        </w:tc>
        <w:tc>
          <w:tcPr>
            <w:tcW w:w="1530" w:type="dxa"/>
            <w:vAlign w:val="center"/>
          </w:tcPr>
          <w:p w14:paraId="3E35F583">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A9A51BE">
            <w:pPr>
              <w:widowControl/>
              <w:jc w:val="center"/>
              <w:textAlignment w:val="center"/>
              <w:rPr>
                <w:rFonts w:ascii="宋体" w:hAnsi="宋体" w:eastAsia="宋体" w:cs="宋体"/>
                <w:szCs w:val="21"/>
              </w:rPr>
            </w:pPr>
          </w:p>
        </w:tc>
        <w:tc>
          <w:tcPr>
            <w:tcW w:w="1097" w:type="dxa"/>
            <w:vAlign w:val="center"/>
          </w:tcPr>
          <w:p w14:paraId="0D2D1A3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1CB6A94">
            <w:pPr>
              <w:widowControl/>
              <w:jc w:val="center"/>
              <w:textAlignment w:val="center"/>
              <w:rPr>
                <w:rFonts w:ascii="宋体" w:hAnsi="宋体" w:eastAsia="宋体" w:cs="宋体"/>
                <w:szCs w:val="21"/>
              </w:rPr>
            </w:pPr>
          </w:p>
        </w:tc>
      </w:tr>
      <w:tr w14:paraId="4613C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F79A473">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37E1C04E">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96E8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389ADAFE">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312FF66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3D461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DB67D8A">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52AB032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911E8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18394A9">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5FA7841">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ABBE7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F04C387">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4E415760">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3373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D0240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D3F9D91">
            <w:pPr>
              <w:widowControl/>
              <w:jc w:val="left"/>
              <w:rPr>
                <w:rFonts w:ascii="宋体" w:hAnsi="宋体" w:eastAsia="宋体" w:cs="宋体"/>
                <w:kern w:val="0"/>
                <w:szCs w:val="21"/>
                <w:lang w:bidi="ar"/>
              </w:rPr>
            </w:pPr>
          </w:p>
        </w:tc>
      </w:tr>
    </w:tbl>
    <w:p w14:paraId="246792BF">
      <w:pPr>
        <w:pStyle w:val="2"/>
        <w:rPr>
          <w:rFonts w:ascii="Times New Roman" w:hAnsi="Times New Roman" w:eastAsia="宋体" w:cs="Times New Roman"/>
          <w:b/>
          <w:bCs/>
          <w:color w:val="000000"/>
          <w:sz w:val="24"/>
          <w:szCs w:val="24"/>
        </w:rPr>
      </w:pPr>
    </w:p>
    <w:p w14:paraId="544B1AC0">
      <w:pPr>
        <w:pStyle w:val="2"/>
        <w:rPr>
          <w:rFonts w:ascii="Times New Roman" w:hAnsi="Times New Roman" w:eastAsia="宋体" w:cs="Times New Roman"/>
          <w:b/>
          <w:bCs/>
          <w:color w:val="000000"/>
          <w:sz w:val="24"/>
          <w:szCs w:val="24"/>
        </w:rPr>
      </w:pPr>
    </w:p>
    <w:p w14:paraId="1E02D04A">
      <w:pPr>
        <w:pStyle w:val="2"/>
        <w:rPr>
          <w:rFonts w:ascii="Times New Roman" w:hAnsi="Times New Roman" w:eastAsia="宋体" w:cs="Times New Roman"/>
          <w:b/>
          <w:bCs/>
          <w:color w:val="000000"/>
          <w:sz w:val="24"/>
          <w:szCs w:val="24"/>
        </w:rPr>
      </w:pPr>
    </w:p>
    <w:p w14:paraId="27DB9CBE">
      <w:pPr>
        <w:pStyle w:val="2"/>
        <w:rPr>
          <w:rFonts w:ascii="Times New Roman" w:hAnsi="Times New Roman" w:eastAsia="宋体" w:cs="Times New Roman"/>
          <w:b/>
          <w:bCs/>
          <w:color w:val="000000"/>
          <w:sz w:val="24"/>
          <w:szCs w:val="24"/>
        </w:rPr>
      </w:pPr>
    </w:p>
    <w:p w14:paraId="7C2B702F">
      <w:pPr>
        <w:pStyle w:val="2"/>
        <w:rPr>
          <w:rFonts w:ascii="Times New Roman" w:hAnsi="Times New Roman" w:eastAsia="宋体" w:cs="Times New Roman"/>
          <w:b/>
          <w:bCs/>
          <w:color w:val="000000"/>
          <w:sz w:val="24"/>
          <w:szCs w:val="24"/>
        </w:rPr>
      </w:pPr>
    </w:p>
    <w:p w14:paraId="0677C2EE">
      <w:pPr>
        <w:pStyle w:val="2"/>
        <w:rPr>
          <w:rFonts w:ascii="Times New Roman" w:hAnsi="Times New Roman" w:eastAsia="宋体" w:cs="Times New Roman"/>
          <w:b/>
          <w:bCs/>
          <w:color w:val="000000"/>
          <w:sz w:val="24"/>
          <w:szCs w:val="24"/>
        </w:rPr>
      </w:pPr>
    </w:p>
    <w:p w14:paraId="2E6646A6">
      <w:pPr>
        <w:pStyle w:val="2"/>
        <w:rPr>
          <w:rFonts w:ascii="Times New Roman" w:hAnsi="Times New Roman" w:eastAsia="宋体" w:cs="Times New Roman"/>
          <w:b/>
          <w:bCs/>
          <w:color w:val="000000"/>
          <w:sz w:val="24"/>
          <w:szCs w:val="24"/>
        </w:rPr>
      </w:pPr>
    </w:p>
    <w:p w14:paraId="4D674299">
      <w:pPr>
        <w:pStyle w:val="2"/>
        <w:rPr>
          <w:rFonts w:ascii="Times New Roman" w:hAnsi="Times New Roman" w:eastAsia="宋体" w:cs="Times New Roman"/>
          <w:b/>
          <w:bCs/>
          <w:color w:val="000000"/>
          <w:sz w:val="24"/>
          <w:szCs w:val="24"/>
        </w:rPr>
      </w:pPr>
    </w:p>
    <w:p w14:paraId="094C28AC">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98AB96B">
      <w:pPr>
        <w:pStyle w:val="2"/>
        <w:rPr>
          <w:rFonts w:ascii="Times New Roman" w:hAnsi="Times New Roman" w:eastAsia="宋体" w:cs="Times New Roman"/>
          <w:b/>
          <w:bCs/>
          <w:color w:val="000000"/>
          <w:sz w:val="24"/>
          <w:szCs w:val="24"/>
        </w:rPr>
      </w:pP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CB9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A024D6E">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2CF50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3AAA270">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4B810E8D">
            <w:pPr>
              <w:spacing w:line="440" w:lineRule="exact"/>
              <w:jc w:val="center"/>
              <w:rPr>
                <w:rFonts w:ascii="宋体" w:hAnsi="宋体"/>
                <w:color w:val="000000"/>
                <w:sz w:val="24"/>
                <w:szCs w:val="24"/>
              </w:rPr>
            </w:pPr>
          </w:p>
        </w:tc>
      </w:tr>
      <w:tr w14:paraId="754CB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31DDF2D">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6B366851">
            <w:pPr>
              <w:spacing w:line="440" w:lineRule="exact"/>
              <w:jc w:val="center"/>
              <w:rPr>
                <w:rFonts w:ascii="宋体" w:hAnsi="宋体"/>
                <w:color w:val="000000"/>
                <w:sz w:val="24"/>
                <w:szCs w:val="24"/>
              </w:rPr>
            </w:pPr>
          </w:p>
        </w:tc>
      </w:tr>
      <w:tr w14:paraId="076C8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F0F0AD0">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7DA118C">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D8FB3D8">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6FDA02A2">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4E719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CC1FD35">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6772CD3E">
            <w:pPr>
              <w:spacing w:line="440" w:lineRule="exact"/>
              <w:jc w:val="center"/>
              <w:rPr>
                <w:rFonts w:ascii="宋体" w:hAnsi="宋体"/>
                <w:color w:val="000000"/>
                <w:sz w:val="24"/>
                <w:szCs w:val="24"/>
              </w:rPr>
            </w:pPr>
          </w:p>
        </w:tc>
        <w:tc>
          <w:tcPr>
            <w:tcW w:w="1288" w:type="dxa"/>
          </w:tcPr>
          <w:p w14:paraId="4F83E5D1">
            <w:pPr>
              <w:spacing w:line="440" w:lineRule="exact"/>
              <w:jc w:val="center"/>
              <w:rPr>
                <w:rFonts w:ascii="宋体" w:hAnsi="宋体"/>
                <w:color w:val="000000"/>
                <w:sz w:val="24"/>
                <w:szCs w:val="24"/>
              </w:rPr>
            </w:pPr>
          </w:p>
        </w:tc>
        <w:tc>
          <w:tcPr>
            <w:tcW w:w="1288" w:type="dxa"/>
          </w:tcPr>
          <w:p w14:paraId="3E3CAEE7">
            <w:pPr>
              <w:spacing w:line="440" w:lineRule="exact"/>
              <w:jc w:val="center"/>
              <w:rPr>
                <w:rFonts w:ascii="宋体" w:hAnsi="宋体"/>
                <w:color w:val="000000"/>
                <w:sz w:val="24"/>
                <w:szCs w:val="24"/>
              </w:rPr>
            </w:pPr>
          </w:p>
        </w:tc>
      </w:tr>
      <w:tr w14:paraId="77BB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62AA5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58BD46D8">
            <w:pPr>
              <w:spacing w:line="440" w:lineRule="exact"/>
              <w:jc w:val="center"/>
              <w:rPr>
                <w:rFonts w:ascii="宋体" w:hAnsi="宋体"/>
                <w:color w:val="000000"/>
                <w:sz w:val="24"/>
                <w:szCs w:val="24"/>
              </w:rPr>
            </w:pPr>
          </w:p>
        </w:tc>
        <w:tc>
          <w:tcPr>
            <w:tcW w:w="1288" w:type="dxa"/>
          </w:tcPr>
          <w:p w14:paraId="4D4ADC7E">
            <w:pPr>
              <w:spacing w:line="440" w:lineRule="exact"/>
              <w:jc w:val="center"/>
              <w:rPr>
                <w:rFonts w:ascii="宋体" w:hAnsi="宋体"/>
                <w:color w:val="000000"/>
                <w:sz w:val="24"/>
                <w:szCs w:val="24"/>
              </w:rPr>
            </w:pPr>
          </w:p>
        </w:tc>
        <w:tc>
          <w:tcPr>
            <w:tcW w:w="1288" w:type="dxa"/>
          </w:tcPr>
          <w:p w14:paraId="0D5035DD">
            <w:pPr>
              <w:spacing w:line="440" w:lineRule="exact"/>
              <w:jc w:val="center"/>
              <w:rPr>
                <w:rFonts w:ascii="宋体" w:hAnsi="宋体"/>
                <w:color w:val="000000"/>
                <w:sz w:val="24"/>
                <w:szCs w:val="24"/>
              </w:rPr>
            </w:pPr>
          </w:p>
        </w:tc>
      </w:tr>
      <w:tr w14:paraId="00FAD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41888A">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0868BAB6">
            <w:pPr>
              <w:spacing w:line="440" w:lineRule="exact"/>
              <w:jc w:val="center"/>
              <w:rPr>
                <w:rFonts w:ascii="宋体" w:hAnsi="宋体"/>
                <w:color w:val="000000"/>
                <w:sz w:val="24"/>
                <w:szCs w:val="24"/>
                <w:highlight w:val="yellow"/>
              </w:rPr>
            </w:pPr>
          </w:p>
        </w:tc>
        <w:tc>
          <w:tcPr>
            <w:tcW w:w="1288" w:type="dxa"/>
          </w:tcPr>
          <w:p w14:paraId="257BEA19">
            <w:pPr>
              <w:spacing w:line="440" w:lineRule="exact"/>
              <w:jc w:val="center"/>
              <w:rPr>
                <w:rFonts w:ascii="宋体" w:hAnsi="宋体"/>
                <w:color w:val="000000"/>
                <w:sz w:val="24"/>
                <w:szCs w:val="24"/>
                <w:highlight w:val="yellow"/>
              </w:rPr>
            </w:pPr>
          </w:p>
        </w:tc>
        <w:tc>
          <w:tcPr>
            <w:tcW w:w="1288" w:type="dxa"/>
          </w:tcPr>
          <w:p w14:paraId="7D9503DC">
            <w:pPr>
              <w:spacing w:line="440" w:lineRule="exact"/>
              <w:jc w:val="center"/>
              <w:rPr>
                <w:rFonts w:ascii="宋体" w:hAnsi="宋体"/>
                <w:color w:val="000000"/>
                <w:sz w:val="24"/>
                <w:szCs w:val="24"/>
                <w:highlight w:val="yellow"/>
              </w:rPr>
            </w:pPr>
          </w:p>
        </w:tc>
      </w:tr>
      <w:tr w14:paraId="5C0C3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A3B7009">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6985667">
            <w:pPr>
              <w:spacing w:line="440" w:lineRule="exact"/>
              <w:jc w:val="center"/>
              <w:rPr>
                <w:rFonts w:ascii="宋体" w:hAnsi="宋体"/>
                <w:color w:val="000000"/>
                <w:sz w:val="24"/>
                <w:szCs w:val="24"/>
              </w:rPr>
            </w:pPr>
          </w:p>
        </w:tc>
        <w:tc>
          <w:tcPr>
            <w:tcW w:w="1288" w:type="dxa"/>
          </w:tcPr>
          <w:p w14:paraId="2A9FD9B7">
            <w:pPr>
              <w:spacing w:line="440" w:lineRule="exact"/>
              <w:jc w:val="center"/>
              <w:rPr>
                <w:rFonts w:ascii="宋体" w:hAnsi="宋体"/>
                <w:color w:val="000000"/>
                <w:sz w:val="24"/>
                <w:szCs w:val="24"/>
              </w:rPr>
            </w:pPr>
          </w:p>
        </w:tc>
        <w:tc>
          <w:tcPr>
            <w:tcW w:w="1288" w:type="dxa"/>
          </w:tcPr>
          <w:p w14:paraId="2EFC2FBC">
            <w:pPr>
              <w:spacing w:line="440" w:lineRule="exact"/>
              <w:jc w:val="center"/>
              <w:rPr>
                <w:rFonts w:ascii="宋体" w:hAnsi="宋体"/>
                <w:color w:val="000000"/>
                <w:sz w:val="24"/>
                <w:szCs w:val="24"/>
              </w:rPr>
            </w:pPr>
          </w:p>
        </w:tc>
      </w:tr>
      <w:tr w14:paraId="71471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39CE81">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362745D8">
            <w:pPr>
              <w:spacing w:line="440" w:lineRule="exact"/>
              <w:jc w:val="center"/>
              <w:rPr>
                <w:rFonts w:ascii="宋体" w:hAnsi="宋体"/>
                <w:color w:val="000000"/>
                <w:sz w:val="24"/>
                <w:szCs w:val="24"/>
              </w:rPr>
            </w:pPr>
          </w:p>
        </w:tc>
        <w:tc>
          <w:tcPr>
            <w:tcW w:w="1288" w:type="dxa"/>
          </w:tcPr>
          <w:p w14:paraId="2B077B02">
            <w:pPr>
              <w:spacing w:line="440" w:lineRule="exact"/>
              <w:jc w:val="center"/>
              <w:rPr>
                <w:rFonts w:ascii="宋体" w:hAnsi="宋体"/>
                <w:color w:val="000000"/>
                <w:sz w:val="24"/>
                <w:szCs w:val="24"/>
              </w:rPr>
            </w:pPr>
          </w:p>
        </w:tc>
        <w:tc>
          <w:tcPr>
            <w:tcW w:w="1288" w:type="dxa"/>
          </w:tcPr>
          <w:p w14:paraId="07FBF448">
            <w:pPr>
              <w:spacing w:line="440" w:lineRule="exact"/>
              <w:jc w:val="center"/>
              <w:rPr>
                <w:rFonts w:ascii="宋体" w:hAnsi="宋体"/>
                <w:color w:val="000000"/>
                <w:sz w:val="24"/>
                <w:szCs w:val="24"/>
              </w:rPr>
            </w:pPr>
          </w:p>
        </w:tc>
      </w:tr>
      <w:tr w14:paraId="653FE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EB5B97">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27BEC82E">
            <w:pPr>
              <w:spacing w:line="440" w:lineRule="exact"/>
              <w:jc w:val="center"/>
              <w:rPr>
                <w:rFonts w:ascii="宋体" w:hAnsi="宋体"/>
                <w:color w:val="000000"/>
                <w:sz w:val="24"/>
                <w:szCs w:val="24"/>
                <w:highlight w:val="yellow"/>
              </w:rPr>
            </w:pPr>
          </w:p>
        </w:tc>
        <w:tc>
          <w:tcPr>
            <w:tcW w:w="1288" w:type="dxa"/>
          </w:tcPr>
          <w:p w14:paraId="2B67CC85">
            <w:pPr>
              <w:spacing w:line="440" w:lineRule="exact"/>
              <w:jc w:val="center"/>
              <w:rPr>
                <w:rFonts w:ascii="宋体" w:hAnsi="宋体"/>
                <w:color w:val="000000"/>
                <w:sz w:val="24"/>
                <w:szCs w:val="24"/>
                <w:highlight w:val="yellow"/>
              </w:rPr>
            </w:pPr>
          </w:p>
        </w:tc>
        <w:tc>
          <w:tcPr>
            <w:tcW w:w="1288" w:type="dxa"/>
          </w:tcPr>
          <w:p w14:paraId="1C6FB379">
            <w:pPr>
              <w:spacing w:line="440" w:lineRule="exact"/>
              <w:jc w:val="center"/>
              <w:rPr>
                <w:rFonts w:ascii="宋体" w:hAnsi="宋体"/>
                <w:color w:val="000000"/>
                <w:sz w:val="24"/>
                <w:szCs w:val="24"/>
                <w:highlight w:val="yellow"/>
              </w:rPr>
            </w:pPr>
          </w:p>
        </w:tc>
      </w:tr>
      <w:tr w14:paraId="414E4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015F1A5">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05681034">
            <w:pPr>
              <w:spacing w:line="440" w:lineRule="exact"/>
              <w:jc w:val="center"/>
              <w:rPr>
                <w:rFonts w:ascii="宋体" w:hAnsi="宋体"/>
                <w:color w:val="000000"/>
                <w:sz w:val="24"/>
                <w:szCs w:val="24"/>
                <w:highlight w:val="yellow"/>
              </w:rPr>
            </w:pPr>
          </w:p>
        </w:tc>
        <w:tc>
          <w:tcPr>
            <w:tcW w:w="1288" w:type="dxa"/>
          </w:tcPr>
          <w:p w14:paraId="73177E8F">
            <w:pPr>
              <w:spacing w:line="440" w:lineRule="exact"/>
              <w:jc w:val="center"/>
              <w:rPr>
                <w:rFonts w:ascii="宋体" w:hAnsi="宋体"/>
                <w:color w:val="000000"/>
                <w:sz w:val="24"/>
                <w:szCs w:val="24"/>
                <w:highlight w:val="yellow"/>
              </w:rPr>
            </w:pPr>
          </w:p>
        </w:tc>
        <w:tc>
          <w:tcPr>
            <w:tcW w:w="1288" w:type="dxa"/>
          </w:tcPr>
          <w:p w14:paraId="527DD685">
            <w:pPr>
              <w:spacing w:line="440" w:lineRule="exact"/>
              <w:jc w:val="center"/>
              <w:rPr>
                <w:rFonts w:ascii="宋体" w:hAnsi="宋体"/>
                <w:color w:val="000000"/>
                <w:sz w:val="24"/>
                <w:szCs w:val="24"/>
                <w:highlight w:val="yellow"/>
              </w:rPr>
            </w:pPr>
          </w:p>
        </w:tc>
      </w:tr>
      <w:tr w14:paraId="58B56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57E530">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0B2AF70C">
            <w:pPr>
              <w:spacing w:line="440" w:lineRule="exact"/>
              <w:jc w:val="center"/>
              <w:rPr>
                <w:rFonts w:ascii="宋体" w:hAnsi="宋体"/>
                <w:color w:val="000000"/>
                <w:sz w:val="24"/>
                <w:szCs w:val="24"/>
              </w:rPr>
            </w:pPr>
          </w:p>
        </w:tc>
        <w:tc>
          <w:tcPr>
            <w:tcW w:w="1288" w:type="dxa"/>
          </w:tcPr>
          <w:p w14:paraId="3D89A102">
            <w:pPr>
              <w:spacing w:line="440" w:lineRule="exact"/>
              <w:jc w:val="center"/>
              <w:rPr>
                <w:rFonts w:ascii="宋体" w:hAnsi="宋体"/>
                <w:color w:val="000000"/>
                <w:sz w:val="24"/>
                <w:szCs w:val="24"/>
              </w:rPr>
            </w:pPr>
          </w:p>
        </w:tc>
        <w:tc>
          <w:tcPr>
            <w:tcW w:w="1288" w:type="dxa"/>
          </w:tcPr>
          <w:p w14:paraId="4C8E24C3">
            <w:pPr>
              <w:spacing w:line="440" w:lineRule="exact"/>
              <w:jc w:val="center"/>
              <w:rPr>
                <w:rFonts w:ascii="宋体" w:hAnsi="宋体"/>
                <w:color w:val="000000"/>
                <w:sz w:val="24"/>
                <w:szCs w:val="24"/>
              </w:rPr>
            </w:pPr>
          </w:p>
        </w:tc>
      </w:tr>
      <w:tr w14:paraId="044BF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563905A">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2B4BB4AC">
            <w:pPr>
              <w:spacing w:line="440" w:lineRule="exact"/>
              <w:jc w:val="center"/>
              <w:rPr>
                <w:rFonts w:ascii="宋体" w:hAnsi="宋体"/>
                <w:color w:val="000000"/>
                <w:sz w:val="24"/>
                <w:szCs w:val="24"/>
              </w:rPr>
            </w:pPr>
          </w:p>
        </w:tc>
        <w:tc>
          <w:tcPr>
            <w:tcW w:w="1288" w:type="dxa"/>
          </w:tcPr>
          <w:p w14:paraId="2A321593">
            <w:pPr>
              <w:spacing w:line="440" w:lineRule="exact"/>
              <w:jc w:val="center"/>
              <w:rPr>
                <w:rFonts w:ascii="宋体" w:hAnsi="宋体"/>
                <w:color w:val="000000"/>
                <w:sz w:val="24"/>
                <w:szCs w:val="24"/>
              </w:rPr>
            </w:pPr>
          </w:p>
        </w:tc>
        <w:tc>
          <w:tcPr>
            <w:tcW w:w="1288" w:type="dxa"/>
          </w:tcPr>
          <w:p w14:paraId="5BDF778E">
            <w:pPr>
              <w:spacing w:line="440" w:lineRule="exact"/>
              <w:jc w:val="center"/>
              <w:rPr>
                <w:rFonts w:ascii="宋体" w:hAnsi="宋体"/>
                <w:color w:val="000000"/>
                <w:sz w:val="24"/>
                <w:szCs w:val="24"/>
              </w:rPr>
            </w:pPr>
          </w:p>
        </w:tc>
      </w:tr>
      <w:tr w14:paraId="12182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1191182">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83BEB22">
            <w:pPr>
              <w:spacing w:line="440" w:lineRule="exact"/>
              <w:jc w:val="center"/>
              <w:rPr>
                <w:rFonts w:ascii="宋体" w:hAnsi="宋体"/>
                <w:color w:val="000000"/>
                <w:sz w:val="24"/>
                <w:szCs w:val="24"/>
              </w:rPr>
            </w:pPr>
          </w:p>
        </w:tc>
        <w:tc>
          <w:tcPr>
            <w:tcW w:w="1288" w:type="dxa"/>
          </w:tcPr>
          <w:p w14:paraId="1F10694A">
            <w:pPr>
              <w:spacing w:line="440" w:lineRule="exact"/>
              <w:jc w:val="center"/>
              <w:rPr>
                <w:rFonts w:ascii="宋体" w:hAnsi="宋体"/>
                <w:color w:val="000000"/>
                <w:sz w:val="24"/>
                <w:szCs w:val="24"/>
              </w:rPr>
            </w:pPr>
          </w:p>
        </w:tc>
        <w:tc>
          <w:tcPr>
            <w:tcW w:w="1288" w:type="dxa"/>
          </w:tcPr>
          <w:p w14:paraId="6FC1EBB3">
            <w:pPr>
              <w:spacing w:line="440" w:lineRule="exact"/>
              <w:jc w:val="center"/>
              <w:rPr>
                <w:rFonts w:ascii="宋体" w:hAnsi="宋体"/>
                <w:color w:val="000000"/>
                <w:sz w:val="24"/>
                <w:szCs w:val="24"/>
              </w:rPr>
            </w:pPr>
          </w:p>
        </w:tc>
      </w:tr>
    </w:tbl>
    <w:p w14:paraId="79B9F50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8F5B1AD">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6F8054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1A2D55">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0C1C25B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364DFC50">
      <w:pPr>
        <w:spacing w:line="240" w:lineRule="exact"/>
        <w:jc w:val="center"/>
        <w:rPr>
          <w:rFonts w:ascii="宋体" w:hAnsi="Calibri" w:eastAsia="宋体" w:cs="Times New Roman"/>
          <w:b/>
          <w:bCs/>
          <w:sz w:val="36"/>
          <w:szCs w:val="20"/>
        </w:rPr>
      </w:pPr>
    </w:p>
    <w:p w14:paraId="634A733E">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产品试验检测中心气压脉冲试验台、座椅头枕强度试验台、多楔带试验台项目</w:t>
      </w:r>
      <w:r>
        <w:rPr>
          <w:rFonts w:hint="eastAsia" w:ascii="宋体" w:hAnsi="宋体" w:eastAsia="宋体" w:cs="Times New Roman"/>
          <w:b/>
          <w:bCs/>
          <w:sz w:val="24"/>
          <w:szCs w:val="20"/>
        </w:rPr>
        <w:t>中国重汽集团济南动力有限公司：</w:t>
      </w:r>
    </w:p>
    <w:p w14:paraId="056409AB">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7FF7C3BF">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39849F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29128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2562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F4E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73DCB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84EC40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48FCE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5DD79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6DFE81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ABAD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781BB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DE010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A530D8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78145">
      <w:pPr>
        <w:spacing w:line="360" w:lineRule="auto"/>
        <w:ind w:firstLine="480" w:firstLineChars="200"/>
        <w:rPr>
          <w:rFonts w:ascii="宋体" w:hAnsi="宋体" w:eastAsia="宋体" w:cs="Times New Roman"/>
          <w:sz w:val="24"/>
          <w:szCs w:val="20"/>
          <w:u w:val="single"/>
        </w:rPr>
      </w:pPr>
    </w:p>
    <w:p w14:paraId="451986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8A14A8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43A82A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8213C69">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61AEA77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27232D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产品试验检测中心气压脉冲试验台、座椅头枕强度试验台、多楔带试验台项目</w:t>
      </w:r>
      <w:r>
        <w:rPr>
          <w:rFonts w:ascii="宋体" w:hAnsi="宋体" w:eastAsia="宋体" w:cs="Times New Roman"/>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03578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A45B17C">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6DA88590">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58979FE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5BC81E0D">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A1C3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D7DB5BB">
            <w:pPr>
              <w:jc w:val="center"/>
              <w:rPr>
                <w:rFonts w:ascii="Times New Roman" w:hAnsi="Times New Roman" w:eastAsia="宋体" w:cs="Times New Roman"/>
                <w:b/>
                <w:sz w:val="24"/>
                <w:szCs w:val="20"/>
              </w:rPr>
            </w:pPr>
          </w:p>
        </w:tc>
        <w:tc>
          <w:tcPr>
            <w:tcW w:w="3449" w:type="dxa"/>
          </w:tcPr>
          <w:p w14:paraId="4EF51240">
            <w:pPr>
              <w:jc w:val="center"/>
              <w:rPr>
                <w:rFonts w:ascii="Times New Roman" w:hAnsi="Times New Roman" w:eastAsia="宋体" w:cs="Times New Roman"/>
                <w:b/>
                <w:sz w:val="24"/>
                <w:szCs w:val="20"/>
              </w:rPr>
            </w:pPr>
          </w:p>
        </w:tc>
        <w:tc>
          <w:tcPr>
            <w:tcW w:w="2414" w:type="dxa"/>
          </w:tcPr>
          <w:p w14:paraId="1EFCBF62">
            <w:pPr>
              <w:jc w:val="center"/>
              <w:rPr>
                <w:rFonts w:ascii="Times New Roman" w:hAnsi="Times New Roman" w:eastAsia="宋体" w:cs="Times New Roman"/>
                <w:b/>
                <w:sz w:val="24"/>
                <w:szCs w:val="20"/>
              </w:rPr>
            </w:pPr>
          </w:p>
        </w:tc>
        <w:tc>
          <w:tcPr>
            <w:tcW w:w="1608" w:type="dxa"/>
          </w:tcPr>
          <w:p w14:paraId="61219E5A">
            <w:pPr>
              <w:jc w:val="center"/>
              <w:rPr>
                <w:rFonts w:ascii="Times New Roman" w:hAnsi="Times New Roman" w:eastAsia="宋体" w:cs="Times New Roman"/>
                <w:b/>
                <w:sz w:val="24"/>
                <w:szCs w:val="20"/>
              </w:rPr>
            </w:pPr>
          </w:p>
        </w:tc>
      </w:tr>
      <w:tr w14:paraId="50EE8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EBB91DA">
            <w:pPr>
              <w:jc w:val="center"/>
              <w:rPr>
                <w:rFonts w:ascii="Times New Roman" w:hAnsi="Times New Roman" w:eastAsia="宋体" w:cs="Times New Roman"/>
                <w:b/>
                <w:sz w:val="24"/>
                <w:szCs w:val="20"/>
              </w:rPr>
            </w:pPr>
          </w:p>
        </w:tc>
        <w:tc>
          <w:tcPr>
            <w:tcW w:w="3449" w:type="dxa"/>
          </w:tcPr>
          <w:p w14:paraId="44E7581C">
            <w:pPr>
              <w:jc w:val="center"/>
              <w:rPr>
                <w:rFonts w:ascii="Times New Roman" w:hAnsi="Times New Roman" w:eastAsia="宋体" w:cs="Times New Roman"/>
                <w:b/>
                <w:sz w:val="24"/>
                <w:szCs w:val="20"/>
              </w:rPr>
            </w:pPr>
          </w:p>
        </w:tc>
        <w:tc>
          <w:tcPr>
            <w:tcW w:w="2414" w:type="dxa"/>
          </w:tcPr>
          <w:p w14:paraId="65C04813">
            <w:pPr>
              <w:jc w:val="center"/>
              <w:rPr>
                <w:rFonts w:ascii="Times New Roman" w:hAnsi="Times New Roman" w:eastAsia="宋体" w:cs="Times New Roman"/>
                <w:b/>
                <w:sz w:val="24"/>
                <w:szCs w:val="20"/>
              </w:rPr>
            </w:pPr>
          </w:p>
        </w:tc>
        <w:tc>
          <w:tcPr>
            <w:tcW w:w="1608" w:type="dxa"/>
          </w:tcPr>
          <w:p w14:paraId="6C18C0C3">
            <w:pPr>
              <w:jc w:val="center"/>
              <w:rPr>
                <w:rFonts w:ascii="Times New Roman" w:hAnsi="Times New Roman" w:eastAsia="宋体" w:cs="Times New Roman"/>
                <w:b/>
                <w:sz w:val="24"/>
                <w:szCs w:val="20"/>
              </w:rPr>
            </w:pPr>
          </w:p>
        </w:tc>
      </w:tr>
      <w:tr w14:paraId="7BF4A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6B37300">
            <w:pPr>
              <w:jc w:val="center"/>
              <w:rPr>
                <w:rFonts w:ascii="Times New Roman" w:hAnsi="Times New Roman" w:eastAsia="宋体" w:cs="Times New Roman"/>
                <w:b/>
                <w:sz w:val="24"/>
                <w:szCs w:val="20"/>
              </w:rPr>
            </w:pPr>
          </w:p>
        </w:tc>
        <w:tc>
          <w:tcPr>
            <w:tcW w:w="3449" w:type="dxa"/>
          </w:tcPr>
          <w:p w14:paraId="18F87882">
            <w:pPr>
              <w:jc w:val="center"/>
              <w:rPr>
                <w:rFonts w:ascii="Times New Roman" w:hAnsi="Times New Roman" w:eastAsia="宋体" w:cs="Times New Roman"/>
                <w:b/>
                <w:sz w:val="24"/>
                <w:szCs w:val="20"/>
              </w:rPr>
            </w:pPr>
          </w:p>
        </w:tc>
        <w:tc>
          <w:tcPr>
            <w:tcW w:w="2414" w:type="dxa"/>
          </w:tcPr>
          <w:p w14:paraId="67A25DFA">
            <w:pPr>
              <w:jc w:val="center"/>
              <w:rPr>
                <w:rFonts w:ascii="Times New Roman" w:hAnsi="Times New Roman" w:eastAsia="宋体" w:cs="Times New Roman"/>
                <w:b/>
                <w:sz w:val="24"/>
                <w:szCs w:val="20"/>
              </w:rPr>
            </w:pPr>
          </w:p>
        </w:tc>
        <w:tc>
          <w:tcPr>
            <w:tcW w:w="1608" w:type="dxa"/>
          </w:tcPr>
          <w:p w14:paraId="34614A25">
            <w:pPr>
              <w:jc w:val="center"/>
              <w:rPr>
                <w:rFonts w:ascii="Times New Roman" w:hAnsi="Times New Roman" w:eastAsia="宋体" w:cs="Times New Roman"/>
                <w:b/>
                <w:sz w:val="24"/>
                <w:szCs w:val="20"/>
              </w:rPr>
            </w:pPr>
          </w:p>
        </w:tc>
      </w:tr>
      <w:tr w14:paraId="2018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490E89E0">
            <w:pPr>
              <w:jc w:val="center"/>
              <w:rPr>
                <w:rFonts w:ascii="Times New Roman" w:hAnsi="Times New Roman" w:eastAsia="宋体" w:cs="Times New Roman"/>
                <w:b/>
                <w:sz w:val="24"/>
                <w:szCs w:val="20"/>
              </w:rPr>
            </w:pPr>
          </w:p>
        </w:tc>
        <w:tc>
          <w:tcPr>
            <w:tcW w:w="3449" w:type="dxa"/>
          </w:tcPr>
          <w:p w14:paraId="2F13B141">
            <w:pPr>
              <w:jc w:val="center"/>
              <w:rPr>
                <w:rFonts w:ascii="Times New Roman" w:hAnsi="Times New Roman" w:eastAsia="宋体" w:cs="Times New Roman"/>
                <w:b/>
                <w:sz w:val="24"/>
                <w:szCs w:val="20"/>
              </w:rPr>
            </w:pPr>
          </w:p>
        </w:tc>
        <w:tc>
          <w:tcPr>
            <w:tcW w:w="2414" w:type="dxa"/>
          </w:tcPr>
          <w:p w14:paraId="0A156E97">
            <w:pPr>
              <w:jc w:val="center"/>
              <w:rPr>
                <w:rFonts w:ascii="Times New Roman" w:hAnsi="Times New Roman" w:eastAsia="宋体" w:cs="Times New Roman"/>
                <w:b/>
                <w:sz w:val="24"/>
                <w:szCs w:val="20"/>
              </w:rPr>
            </w:pPr>
          </w:p>
        </w:tc>
        <w:tc>
          <w:tcPr>
            <w:tcW w:w="1608" w:type="dxa"/>
          </w:tcPr>
          <w:p w14:paraId="651D4C14">
            <w:pPr>
              <w:jc w:val="center"/>
              <w:rPr>
                <w:rFonts w:ascii="Times New Roman" w:hAnsi="Times New Roman" w:eastAsia="宋体" w:cs="Times New Roman"/>
                <w:b/>
                <w:sz w:val="24"/>
                <w:szCs w:val="20"/>
              </w:rPr>
            </w:pPr>
          </w:p>
        </w:tc>
      </w:tr>
      <w:tr w14:paraId="2D5A3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0AFC152">
            <w:pPr>
              <w:jc w:val="center"/>
              <w:rPr>
                <w:rFonts w:ascii="Times New Roman" w:hAnsi="Times New Roman" w:eastAsia="宋体" w:cs="Times New Roman"/>
                <w:b/>
                <w:sz w:val="24"/>
                <w:szCs w:val="20"/>
              </w:rPr>
            </w:pPr>
          </w:p>
        </w:tc>
        <w:tc>
          <w:tcPr>
            <w:tcW w:w="3449" w:type="dxa"/>
          </w:tcPr>
          <w:p w14:paraId="62D680AD">
            <w:pPr>
              <w:jc w:val="center"/>
              <w:rPr>
                <w:rFonts w:ascii="Times New Roman" w:hAnsi="Times New Roman" w:eastAsia="宋体" w:cs="Times New Roman"/>
                <w:b/>
                <w:sz w:val="24"/>
                <w:szCs w:val="20"/>
              </w:rPr>
            </w:pPr>
          </w:p>
        </w:tc>
        <w:tc>
          <w:tcPr>
            <w:tcW w:w="2414" w:type="dxa"/>
          </w:tcPr>
          <w:p w14:paraId="247C11DF">
            <w:pPr>
              <w:jc w:val="center"/>
              <w:rPr>
                <w:rFonts w:ascii="Times New Roman" w:hAnsi="Times New Roman" w:eastAsia="宋体" w:cs="Times New Roman"/>
                <w:b/>
                <w:sz w:val="24"/>
                <w:szCs w:val="20"/>
              </w:rPr>
            </w:pPr>
          </w:p>
        </w:tc>
        <w:tc>
          <w:tcPr>
            <w:tcW w:w="1608" w:type="dxa"/>
          </w:tcPr>
          <w:p w14:paraId="59E544B8">
            <w:pPr>
              <w:jc w:val="center"/>
              <w:rPr>
                <w:rFonts w:ascii="Times New Roman" w:hAnsi="Times New Roman" w:eastAsia="宋体" w:cs="Times New Roman"/>
                <w:b/>
                <w:sz w:val="24"/>
                <w:szCs w:val="20"/>
              </w:rPr>
            </w:pPr>
          </w:p>
        </w:tc>
      </w:tr>
      <w:tr w14:paraId="08395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D8EA27C">
            <w:pPr>
              <w:jc w:val="center"/>
              <w:rPr>
                <w:rFonts w:ascii="Times New Roman" w:hAnsi="Times New Roman" w:eastAsia="宋体" w:cs="Times New Roman"/>
                <w:b/>
                <w:sz w:val="24"/>
                <w:szCs w:val="20"/>
              </w:rPr>
            </w:pPr>
          </w:p>
        </w:tc>
        <w:tc>
          <w:tcPr>
            <w:tcW w:w="3449" w:type="dxa"/>
          </w:tcPr>
          <w:p w14:paraId="57CE94F7">
            <w:pPr>
              <w:jc w:val="center"/>
              <w:rPr>
                <w:rFonts w:ascii="Times New Roman" w:hAnsi="Times New Roman" w:eastAsia="宋体" w:cs="Times New Roman"/>
                <w:b/>
                <w:sz w:val="24"/>
                <w:szCs w:val="20"/>
              </w:rPr>
            </w:pPr>
          </w:p>
        </w:tc>
        <w:tc>
          <w:tcPr>
            <w:tcW w:w="2414" w:type="dxa"/>
          </w:tcPr>
          <w:p w14:paraId="4DA1281D">
            <w:pPr>
              <w:jc w:val="center"/>
              <w:rPr>
                <w:rFonts w:ascii="Times New Roman" w:hAnsi="Times New Roman" w:eastAsia="宋体" w:cs="Times New Roman"/>
                <w:b/>
                <w:sz w:val="24"/>
                <w:szCs w:val="20"/>
              </w:rPr>
            </w:pPr>
          </w:p>
        </w:tc>
        <w:tc>
          <w:tcPr>
            <w:tcW w:w="1608" w:type="dxa"/>
          </w:tcPr>
          <w:p w14:paraId="73BEDDAE">
            <w:pPr>
              <w:jc w:val="center"/>
              <w:rPr>
                <w:rFonts w:ascii="Times New Roman" w:hAnsi="Times New Roman" w:eastAsia="宋体" w:cs="Times New Roman"/>
                <w:b/>
                <w:sz w:val="24"/>
                <w:szCs w:val="20"/>
              </w:rPr>
            </w:pPr>
          </w:p>
        </w:tc>
      </w:tr>
      <w:tr w14:paraId="6F049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82D3B05">
            <w:pPr>
              <w:jc w:val="center"/>
              <w:rPr>
                <w:rFonts w:ascii="Times New Roman" w:hAnsi="Times New Roman" w:eastAsia="宋体" w:cs="Times New Roman"/>
                <w:b/>
                <w:sz w:val="24"/>
                <w:szCs w:val="20"/>
              </w:rPr>
            </w:pPr>
          </w:p>
        </w:tc>
        <w:tc>
          <w:tcPr>
            <w:tcW w:w="3449" w:type="dxa"/>
          </w:tcPr>
          <w:p w14:paraId="4CBE89BF">
            <w:pPr>
              <w:jc w:val="center"/>
              <w:rPr>
                <w:rFonts w:ascii="Times New Roman" w:hAnsi="Times New Roman" w:eastAsia="宋体" w:cs="Times New Roman"/>
                <w:b/>
                <w:sz w:val="24"/>
                <w:szCs w:val="20"/>
              </w:rPr>
            </w:pPr>
          </w:p>
        </w:tc>
        <w:tc>
          <w:tcPr>
            <w:tcW w:w="2414" w:type="dxa"/>
          </w:tcPr>
          <w:p w14:paraId="6499C1F1">
            <w:pPr>
              <w:jc w:val="center"/>
              <w:rPr>
                <w:rFonts w:ascii="Times New Roman" w:hAnsi="Times New Roman" w:eastAsia="宋体" w:cs="Times New Roman"/>
                <w:b/>
                <w:sz w:val="24"/>
                <w:szCs w:val="20"/>
              </w:rPr>
            </w:pPr>
          </w:p>
        </w:tc>
        <w:tc>
          <w:tcPr>
            <w:tcW w:w="1608" w:type="dxa"/>
          </w:tcPr>
          <w:p w14:paraId="55C6808A">
            <w:pPr>
              <w:jc w:val="center"/>
              <w:rPr>
                <w:rFonts w:ascii="Times New Roman" w:hAnsi="Times New Roman" w:eastAsia="宋体" w:cs="Times New Roman"/>
                <w:b/>
                <w:sz w:val="24"/>
                <w:szCs w:val="20"/>
              </w:rPr>
            </w:pPr>
          </w:p>
        </w:tc>
      </w:tr>
      <w:tr w14:paraId="378E4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A3FFF84">
            <w:pPr>
              <w:jc w:val="center"/>
              <w:rPr>
                <w:rFonts w:ascii="Times New Roman" w:hAnsi="Times New Roman" w:eastAsia="宋体" w:cs="Times New Roman"/>
                <w:b/>
                <w:sz w:val="24"/>
                <w:szCs w:val="20"/>
              </w:rPr>
            </w:pPr>
          </w:p>
        </w:tc>
        <w:tc>
          <w:tcPr>
            <w:tcW w:w="3449" w:type="dxa"/>
          </w:tcPr>
          <w:p w14:paraId="0B3D9297">
            <w:pPr>
              <w:jc w:val="center"/>
              <w:rPr>
                <w:rFonts w:ascii="Times New Roman" w:hAnsi="Times New Roman" w:eastAsia="宋体" w:cs="Times New Roman"/>
                <w:b/>
                <w:sz w:val="24"/>
                <w:szCs w:val="20"/>
              </w:rPr>
            </w:pPr>
          </w:p>
        </w:tc>
        <w:tc>
          <w:tcPr>
            <w:tcW w:w="2414" w:type="dxa"/>
          </w:tcPr>
          <w:p w14:paraId="6EA9F91C">
            <w:pPr>
              <w:jc w:val="center"/>
              <w:rPr>
                <w:rFonts w:ascii="Times New Roman" w:hAnsi="Times New Roman" w:eastAsia="宋体" w:cs="Times New Roman"/>
                <w:b/>
                <w:sz w:val="24"/>
                <w:szCs w:val="20"/>
              </w:rPr>
            </w:pPr>
          </w:p>
        </w:tc>
        <w:tc>
          <w:tcPr>
            <w:tcW w:w="1608" w:type="dxa"/>
          </w:tcPr>
          <w:p w14:paraId="46B2BD35">
            <w:pPr>
              <w:jc w:val="center"/>
              <w:rPr>
                <w:rFonts w:ascii="Times New Roman" w:hAnsi="Times New Roman" w:eastAsia="宋体" w:cs="Times New Roman"/>
                <w:b/>
                <w:sz w:val="24"/>
                <w:szCs w:val="20"/>
              </w:rPr>
            </w:pPr>
          </w:p>
        </w:tc>
      </w:tr>
      <w:tr w14:paraId="168B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FEA0F2F">
            <w:pPr>
              <w:jc w:val="center"/>
              <w:rPr>
                <w:rFonts w:ascii="Times New Roman" w:hAnsi="Times New Roman" w:eastAsia="宋体" w:cs="Times New Roman"/>
                <w:b/>
                <w:sz w:val="24"/>
                <w:szCs w:val="20"/>
              </w:rPr>
            </w:pPr>
          </w:p>
        </w:tc>
        <w:tc>
          <w:tcPr>
            <w:tcW w:w="3449" w:type="dxa"/>
          </w:tcPr>
          <w:p w14:paraId="57171BB6">
            <w:pPr>
              <w:jc w:val="center"/>
              <w:rPr>
                <w:rFonts w:ascii="Times New Roman" w:hAnsi="Times New Roman" w:eastAsia="宋体" w:cs="Times New Roman"/>
                <w:b/>
                <w:sz w:val="24"/>
                <w:szCs w:val="20"/>
              </w:rPr>
            </w:pPr>
          </w:p>
        </w:tc>
        <w:tc>
          <w:tcPr>
            <w:tcW w:w="2414" w:type="dxa"/>
          </w:tcPr>
          <w:p w14:paraId="29FD8E58">
            <w:pPr>
              <w:jc w:val="center"/>
              <w:rPr>
                <w:rFonts w:ascii="Times New Roman" w:hAnsi="Times New Roman" w:eastAsia="宋体" w:cs="Times New Roman"/>
                <w:b/>
                <w:sz w:val="24"/>
                <w:szCs w:val="20"/>
              </w:rPr>
            </w:pPr>
          </w:p>
        </w:tc>
        <w:tc>
          <w:tcPr>
            <w:tcW w:w="1608" w:type="dxa"/>
          </w:tcPr>
          <w:p w14:paraId="50276672">
            <w:pPr>
              <w:jc w:val="center"/>
              <w:rPr>
                <w:rFonts w:ascii="Times New Roman" w:hAnsi="Times New Roman" w:eastAsia="宋体" w:cs="Times New Roman"/>
                <w:b/>
                <w:sz w:val="24"/>
                <w:szCs w:val="20"/>
              </w:rPr>
            </w:pPr>
          </w:p>
        </w:tc>
      </w:tr>
      <w:tr w14:paraId="23965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3DF85C5">
            <w:pPr>
              <w:jc w:val="center"/>
              <w:rPr>
                <w:rFonts w:ascii="Times New Roman" w:hAnsi="Times New Roman" w:eastAsia="宋体" w:cs="Times New Roman"/>
                <w:b/>
                <w:sz w:val="24"/>
                <w:szCs w:val="20"/>
              </w:rPr>
            </w:pPr>
          </w:p>
        </w:tc>
        <w:tc>
          <w:tcPr>
            <w:tcW w:w="3449" w:type="dxa"/>
          </w:tcPr>
          <w:p w14:paraId="458022B6">
            <w:pPr>
              <w:jc w:val="center"/>
              <w:rPr>
                <w:rFonts w:ascii="Times New Roman" w:hAnsi="Times New Roman" w:eastAsia="宋体" w:cs="Times New Roman"/>
                <w:b/>
                <w:sz w:val="24"/>
                <w:szCs w:val="20"/>
              </w:rPr>
            </w:pPr>
          </w:p>
        </w:tc>
        <w:tc>
          <w:tcPr>
            <w:tcW w:w="2414" w:type="dxa"/>
          </w:tcPr>
          <w:p w14:paraId="3013B9D3">
            <w:pPr>
              <w:jc w:val="center"/>
              <w:rPr>
                <w:rFonts w:ascii="Times New Roman" w:hAnsi="Times New Roman" w:eastAsia="宋体" w:cs="Times New Roman"/>
                <w:b/>
                <w:sz w:val="24"/>
                <w:szCs w:val="20"/>
              </w:rPr>
            </w:pPr>
          </w:p>
        </w:tc>
        <w:tc>
          <w:tcPr>
            <w:tcW w:w="1608" w:type="dxa"/>
          </w:tcPr>
          <w:p w14:paraId="11E1482C">
            <w:pPr>
              <w:jc w:val="center"/>
              <w:rPr>
                <w:rFonts w:ascii="Times New Roman" w:hAnsi="Times New Roman" w:eastAsia="宋体" w:cs="Times New Roman"/>
                <w:b/>
                <w:sz w:val="24"/>
                <w:szCs w:val="20"/>
              </w:rPr>
            </w:pPr>
          </w:p>
        </w:tc>
      </w:tr>
      <w:tr w14:paraId="524D9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F445817">
            <w:pPr>
              <w:jc w:val="center"/>
              <w:rPr>
                <w:rFonts w:ascii="Times New Roman" w:hAnsi="Times New Roman" w:eastAsia="宋体" w:cs="Times New Roman"/>
                <w:b/>
                <w:sz w:val="24"/>
                <w:szCs w:val="20"/>
              </w:rPr>
            </w:pPr>
          </w:p>
        </w:tc>
        <w:tc>
          <w:tcPr>
            <w:tcW w:w="3449" w:type="dxa"/>
          </w:tcPr>
          <w:p w14:paraId="7B7D8DC3">
            <w:pPr>
              <w:jc w:val="center"/>
              <w:rPr>
                <w:rFonts w:ascii="Times New Roman" w:hAnsi="Times New Roman" w:eastAsia="宋体" w:cs="Times New Roman"/>
                <w:b/>
                <w:sz w:val="24"/>
                <w:szCs w:val="20"/>
              </w:rPr>
            </w:pPr>
          </w:p>
        </w:tc>
        <w:tc>
          <w:tcPr>
            <w:tcW w:w="2414" w:type="dxa"/>
          </w:tcPr>
          <w:p w14:paraId="2403CE71">
            <w:pPr>
              <w:jc w:val="center"/>
              <w:rPr>
                <w:rFonts w:ascii="Times New Roman" w:hAnsi="Times New Roman" w:eastAsia="宋体" w:cs="Times New Roman"/>
                <w:b/>
                <w:sz w:val="24"/>
                <w:szCs w:val="20"/>
              </w:rPr>
            </w:pPr>
          </w:p>
        </w:tc>
        <w:tc>
          <w:tcPr>
            <w:tcW w:w="1608" w:type="dxa"/>
          </w:tcPr>
          <w:p w14:paraId="530C9079">
            <w:pPr>
              <w:jc w:val="center"/>
              <w:rPr>
                <w:rFonts w:ascii="Times New Roman" w:hAnsi="Times New Roman" w:eastAsia="宋体" w:cs="Times New Roman"/>
                <w:b/>
                <w:sz w:val="24"/>
                <w:szCs w:val="20"/>
              </w:rPr>
            </w:pPr>
          </w:p>
        </w:tc>
      </w:tr>
      <w:tr w14:paraId="37CEE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60E48A7">
            <w:pPr>
              <w:jc w:val="center"/>
              <w:rPr>
                <w:rFonts w:ascii="Times New Roman" w:hAnsi="Times New Roman" w:eastAsia="宋体" w:cs="Times New Roman"/>
                <w:b/>
                <w:sz w:val="24"/>
                <w:szCs w:val="20"/>
              </w:rPr>
            </w:pPr>
          </w:p>
        </w:tc>
        <w:tc>
          <w:tcPr>
            <w:tcW w:w="3449" w:type="dxa"/>
          </w:tcPr>
          <w:p w14:paraId="7CA4538F">
            <w:pPr>
              <w:jc w:val="center"/>
              <w:rPr>
                <w:rFonts w:ascii="Times New Roman" w:hAnsi="Times New Roman" w:eastAsia="宋体" w:cs="Times New Roman"/>
                <w:b/>
                <w:sz w:val="24"/>
                <w:szCs w:val="20"/>
              </w:rPr>
            </w:pPr>
          </w:p>
        </w:tc>
        <w:tc>
          <w:tcPr>
            <w:tcW w:w="2414" w:type="dxa"/>
          </w:tcPr>
          <w:p w14:paraId="755848BC">
            <w:pPr>
              <w:jc w:val="center"/>
              <w:rPr>
                <w:rFonts w:ascii="Times New Roman" w:hAnsi="Times New Roman" w:eastAsia="宋体" w:cs="Times New Roman"/>
                <w:b/>
                <w:sz w:val="24"/>
                <w:szCs w:val="20"/>
              </w:rPr>
            </w:pPr>
          </w:p>
        </w:tc>
        <w:tc>
          <w:tcPr>
            <w:tcW w:w="1608" w:type="dxa"/>
          </w:tcPr>
          <w:p w14:paraId="080EC71F">
            <w:pPr>
              <w:jc w:val="center"/>
              <w:rPr>
                <w:rFonts w:ascii="Times New Roman" w:hAnsi="Times New Roman" w:eastAsia="宋体" w:cs="Times New Roman"/>
                <w:b/>
                <w:sz w:val="24"/>
                <w:szCs w:val="20"/>
              </w:rPr>
            </w:pPr>
          </w:p>
        </w:tc>
      </w:tr>
      <w:tr w14:paraId="18919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D9B36CA">
            <w:pPr>
              <w:jc w:val="center"/>
              <w:rPr>
                <w:rFonts w:ascii="Times New Roman" w:hAnsi="Times New Roman" w:eastAsia="宋体" w:cs="Times New Roman"/>
                <w:b/>
                <w:sz w:val="24"/>
                <w:szCs w:val="20"/>
              </w:rPr>
            </w:pPr>
          </w:p>
        </w:tc>
        <w:tc>
          <w:tcPr>
            <w:tcW w:w="3449" w:type="dxa"/>
          </w:tcPr>
          <w:p w14:paraId="03DB4839">
            <w:pPr>
              <w:jc w:val="center"/>
              <w:rPr>
                <w:rFonts w:ascii="Times New Roman" w:hAnsi="Times New Roman" w:eastAsia="宋体" w:cs="Times New Roman"/>
                <w:b/>
                <w:sz w:val="24"/>
                <w:szCs w:val="20"/>
              </w:rPr>
            </w:pPr>
          </w:p>
        </w:tc>
        <w:tc>
          <w:tcPr>
            <w:tcW w:w="2414" w:type="dxa"/>
          </w:tcPr>
          <w:p w14:paraId="20B05EA6">
            <w:pPr>
              <w:jc w:val="center"/>
              <w:rPr>
                <w:rFonts w:ascii="Times New Roman" w:hAnsi="Times New Roman" w:eastAsia="宋体" w:cs="Times New Roman"/>
                <w:b/>
                <w:sz w:val="24"/>
                <w:szCs w:val="20"/>
              </w:rPr>
            </w:pPr>
          </w:p>
        </w:tc>
        <w:tc>
          <w:tcPr>
            <w:tcW w:w="1608" w:type="dxa"/>
          </w:tcPr>
          <w:p w14:paraId="77241098">
            <w:pPr>
              <w:jc w:val="center"/>
              <w:rPr>
                <w:rFonts w:ascii="Times New Roman" w:hAnsi="Times New Roman" w:eastAsia="宋体" w:cs="Times New Roman"/>
                <w:b/>
                <w:sz w:val="24"/>
                <w:szCs w:val="20"/>
              </w:rPr>
            </w:pPr>
          </w:p>
        </w:tc>
      </w:tr>
      <w:tr w14:paraId="05B64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D0DE050">
            <w:pPr>
              <w:jc w:val="center"/>
              <w:rPr>
                <w:rFonts w:ascii="Times New Roman" w:hAnsi="Times New Roman" w:eastAsia="宋体" w:cs="Times New Roman"/>
                <w:b/>
                <w:sz w:val="24"/>
                <w:szCs w:val="20"/>
              </w:rPr>
            </w:pPr>
          </w:p>
        </w:tc>
        <w:tc>
          <w:tcPr>
            <w:tcW w:w="3449" w:type="dxa"/>
          </w:tcPr>
          <w:p w14:paraId="28B0E22E">
            <w:pPr>
              <w:jc w:val="center"/>
              <w:rPr>
                <w:rFonts w:ascii="Times New Roman" w:hAnsi="Times New Roman" w:eastAsia="宋体" w:cs="Times New Roman"/>
                <w:b/>
                <w:sz w:val="24"/>
                <w:szCs w:val="20"/>
              </w:rPr>
            </w:pPr>
          </w:p>
        </w:tc>
        <w:tc>
          <w:tcPr>
            <w:tcW w:w="2414" w:type="dxa"/>
          </w:tcPr>
          <w:p w14:paraId="3E2A923F">
            <w:pPr>
              <w:jc w:val="center"/>
              <w:rPr>
                <w:rFonts w:ascii="Times New Roman" w:hAnsi="Times New Roman" w:eastAsia="宋体" w:cs="Times New Roman"/>
                <w:b/>
                <w:sz w:val="24"/>
                <w:szCs w:val="20"/>
              </w:rPr>
            </w:pPr>
          </w:p>
        </w:tc>
        <w:tc>
          <w:tcPr>
            <w:tcW w:w="1608" w:type="dxa"/>
          </w:tcPr>
          <w:p w14:paraId="784EE752">
            <w:pPr>
              <w:jc w:val="center"/>
              <w:rPr>
                <w:rFonts w:ascii="Times New Roman" w:hAnsi="Times New Roman" w:eastAsia="宋体" w:cs="Times New Roman"/>
                <w:b/>
                <w:sz w:val="24"/>
                <w:szCs w:val="20"/>
              </w:rPr>
            </w:pPr>
          </w:p>
        </w:tc>
      </w:tr>
    </w:tbl>
    <w:p w14:paraId="79C05776">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B00FC7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B5DB205">
      <w:pPr>
        <w:rPr>
          <w:rFonts w:ascii="宋体" w:hAnsi="Calibri" w:eastAsia="宋体" w:cs="宋体"/>
          <w:b/>
          <w:bCs/>
          <w:color w:val="000000"/>
          <w:sz w:val="28"/>
          <w:szCs w:val="20"/>
        </w:rPr>
      </w:pPr>
    </w:p>
    <w:p w14:paraId="328D5885">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14:paraId="0789367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14:paraId="1F5E9F94">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595E8B80">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7"/>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544"/>
        <w:gridCol w:w="1933"/>
        <w:gridCol w:w="1335"/>
        <w:gridCol w:w="1824"/>
        <w:gridCol w:w="2362"/>
        <w:gridCol w:w="1355"/>
      </w:tblGrid>
      <w:tr w14:paraId="3F1EA3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7D06FAE7">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4" w:type="dxa"/>
          </w:tcPr>
          <w:p w14:paraId="0A5CC95C">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933" w:type="dxa"/>
          </w:tcPr>
          <w:p w14:paraId="0D1F7387">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335" w:type="dxa"/>
          </w:tcPr>
          <w:p w14:paraId="318DD0EB">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824" w:type="dxa"/>
          </w:tcPr>
          <w:p w14:paraId="337819BC">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053E0E31">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355" w:type="dxa"/>
          </w:tcPr>
          <w:p w14:paraId="7D2614EA">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63B7B0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3179353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544" w:type="dxa"/>
            <w:vAlign w:val="center"/>
          </w:tcPr>
          <w:p w14:paraId="1F58FAC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933" w:type="dxa"/>
            <w:vAlign w:val="center"/>
          </w:tcPr>
          <w:p w14:paraId="2CA59B9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335" w:type="dxa"/>
            <w:vAlign w:val="center"/>
          </w:tcPr>
          <w:p w14:paraId="08761A2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824" w:type="dxa"/>
            <w:vAlign w:val="center"/>
          </w:tcPr>
          <w:p w14:paraId="206F4AD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362" w:type="dxa"/>
            <w:tcBorders>
              <w:left w:val="single" w:color="000000" w:sz="4" w:space="0"/>
            </w:tcBorders>
            <w:vAlign w:val="center"/>
          </w:tcPr>
          <w:p w14:paraId="378CC9F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355" w:type="dxa"/>
            <w:vAlign w:val="center"/>
          </w:tcPr>
          <w:p w14:paraId="55F076F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6F2A3C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8DE2481">
            <w:pPr>
              <w:jc w:val="center"/>
              <w:rPr>
                <w:rFonts w:ascii="宋体" w:hAnsi="宋体" w:eastAsia="宋体" w:cs="宋体"/>
                <w:szCs w:val="21"/>
              </w:rPr>
            </w:pPr>
            <w:r>
              <w:rPr>
                <w:rFonts w:hint="eastAsia" w:ascii="宋体" w:hAnsi="宋体" w:eastAsia="宋体" w:cs="宋体"/>
                <w:szCs w:val="21"/>
              </w:rPr>
              <w:t>1</w:t>
            </w:r>
          </w:p>
        </w:tc>
        <w:tc>
          <w:tcPr>
            <w:tcW w:w="2544" w:type="dxa"/>
            <w:vAlign w:val="center"/>
          </w:tcPr>
          <w:p w14:paraId="0133D738">
            <w:pPr>
              <w:widowControl/>
              <w:textAlignment w:val="center"/>
              <w:rPr>
                <w:rFonts w:ascii="宋体" w:hAnsi="宋体" w:eastAsia="宋体" w:cs="宋体"/>
                <w:sz w:val="18"/>
                <w:szCs w:val="18"/>
              </w:rPr>
            </w:pPr>
            <w:r>
              <w:rPr>
                <w:rFonts w:hint="eastAsia" w:ascii="宋体" w:hAnsi="宋体" w:eastAsia="宋体" w:cs="宋体"/>
                <w:sz w:val="18"/>
                <w:szCs w:val="18"/>
              </w:rPr>
              <w:t>气压脉冲试验台</w:t>
            </w:r>
          </w:p>
        </w:tc>
        <w:tc>
          <w:tcPr>
            <w:tcW w:w="1933" w:type="dxa"/>
            <w:vAlign w:val="center"/>
          </w:tcPr>
          <w:p w14:paraId="50FCD868">
            <w:pPr>
              <w:jc w:val="center"/>
              <w:rPr>
                <w:rFonts w:ascii="宋体" w:hAnsi="宋体" w:eastAsia="宋体" w:cs="宋体"/>
                <w:sz w:val="18"/>
                <w:szCs w:val="18"/>
              </w:rPr>
            </w:pPr>
            <w:r>
              <w:rPr>
                <w:rFonts w:hint="eastAsia" w:ascii="宋体" w:hAnsi="宋体" w:eastAsia="宋体" w:cs="宋体"/>
                <w:sz w:val="18"/>
                <w:szCs w:val="18"/>
              </w:rPr>
              <w:t>拆解、搬运</w:t>
            </w:r>
          </w:p>
          <w:p w14:paraId="5320DB71">
            <w:pPr>
              <w:jc w:val="center"/>
              <w:rPr>
                <w:rFonts w:ascii="宋体" w:hAnsi="宋体" w:eastAsia="宋体" w:cs="宋体"/>
                <w:sz w:val="18"/>
                <w:szCs w:val="18"/>
              </w:rPr>
            </w:pPr>
            <w:r>
              <w:rPr>
                <w:rFonts w:hint="eastAsia" w:ascii="宋体" w:hAnsi="宋体" w:eastAsia="宋体" w:cs="宋体"/>
                <w:sz w:val="18"/>
                <w:szCs w:val="18"/>
              </w:rPr>
              <w:t>安装就位</w:t>
            </w:r>
          </w:p>
        </w:tc>
        <w:tc>
          <w:tcPr>
            <w:tcW w:w="1335" w:type="dxa"/>
            <w:vAlign w:val="center"/>
          </w:tcPr>
          <w:p w14:paraId="401CFE3C">
            <w:pPr>
              <w:jc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024B7E21">
            <w:pPr>
              <w:jc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35B7CF5C">
            <w:pPr>
              <w:jc w:val="center"/>
              <w:rPr>
                <w:rFonts w:ascii="宋体" w:hAnsi="宋体" w:eastAsia="宋体" w:cs="宋体"/>
                <w:sz w:val="18"/>
                <w:szCs w:val="18"/>
              </w:rPr>
            </w:pPr>
          </w:p>
        </w:tc>
        <w:tc>
          <w:tcPr>
            <w:tcW w:w="1355" w:type="dxa"/>
          </w:tcPr>
          <w:p w14:paraId="182A4978">
            <w:pPr>
              <w:rPr>
                <w:rFonts w:ascii="Arial"/>
                <w:sz w:val="24"/>
                <w:szCs w:val="24"/>
              </w:rPr>
            </w:pPr>
          </w:p>
        </w:tc>
      </w:tr>
      <w:tr w14:paraId="4CC781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6910FE9">
            <w:pPr>
              <w:jc w:val="center"/>
              <w:rPr>
                <w:rFonts w:ascii="宋体" w:hAnsi="宋体" w:eastAsia="宋体" w:cs="宋体"/>
                <w:sz w:val="24"/>
                <w:szCs w:val="24"/>
              </w:rPr>
            </w:pPr>
          </w:p>
        </w:tc>
        <w:tc>
          <w:tcPr>
            <w:tcW w:w="2544" w:type="dxa"/>
            <w:vAlign w:val="center"/>
          </w:tcPr>
          <w:p w14:paraId="135D1B53">
            <w:pPr>
              <w:widowControl/>
              <w:textAlignment w:val="center"/>
              <w:rPr>
                <w:rFonts w:ascii="宋体" w:hAnsi="宋体" w:eastAsia="宋体" w:cs="宋体"/>
                <w:sz w:val="18"/>
                <w:szCs w:val="18"/>
              </w:rPr>
            </w:pPr>
          </w:p>
        </w:tc>
        <w:tc>
          <w:tcPr>
            <w:tcW w:w="1933" w:type="dxa"/>
            <w:vAlign w:val="center"/>
          </w:tcPr>
          <w:p w14:paraId="1098493A">
            <w:pPr>
              <w:jc w:val="center"/>
              <w:rPr>
                <w:rFonts w:ascii="宋体" w:hAnsi="宋体" w:eastAsia="宋体" w:cs="宋体"/>
                <w:sz w:val="18"/>
                <w:szCs w:val="18"/>
              </w:rPr>
            </w:pPr>
            <w:r>
              <w:rPr>
                <w:rFonts w:hint="eastAsia" w:ascii="宋体" w:hAnsi="宋体" w:eastAsia="宋体" w:cs="宋体"/>
                <w:sz w:val="18"/>
                <w:szCs w:val="18"/>
              </w:rPr>
              <w:t>运行计量</w:t>
            </w:r>
          </w:p>
        </w:tc>
        <w:tc>
          <w:tcPr>
            <w:tcW w:w="1335" w:type="dxa"/>
            <w:vAlign w:val="center"/>
          </w:tcPr>
          <w:p w14:paraId="20553DBC">
            <w:pPr>
              <w:jc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0BA1A0B3">
            <w:pPr>
              <w:jc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6882FD56">
            <w:pPr>
              <w:jc w:val="center"/>
              <w:rPr>
                <w:rFonts w:ascii="宋体" w:hAnsi="宋体" w:eastAsia="宋体" w:cs="宋体"/>
                <w:sz w:val="18"/>
                <w:szCs w:val="18"/>
              </w:rPr>
            </w:pPr>
          </w:p>
        </w:tc>
        <w:tc>
          <w:tcPr>
            <w:tcW w:w="1355" w:type="dxa"/>
          </w:tcPr>
          <w:p w14:paraId="60B4369B">
            <w:pPr>
              <w:rPr>
                <w:rFonts w:ascii="Arial"/>
                <w:sz w:val="24"/>
                <w:szCs w:val="24"/>
              </w:rPr>
            </w:pPr>
          </w:p>
        </w:tc>
      </w:tr>
      <w:tr w14:paraId="65E563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54CBFA6F">
            <w:pPr>
              <w:jc w:val="center"/>
              <w:rPr>
                <w:rFonts w:ascii="宋体" w:hAnsi="宋体" w:eastAsia="宋体" w:cs="宋体"/>
                <w:sz w:val="24"/>
                <w:szCs w:val="24"/>
              </w:rPr>
            </w:pPr>
            <w:r>
              <w:rPr>
                <w:rFonts w:ascii="宋体" w:hAnsi="宋体" w:eastAsia="宋体" w:cs="宋体"/>
                <w:szCs w:val="21"/>
              </w:rPr>
              <w:t>2</w:t>
            </w:r>
          </w:p>
        </w:tc>
        <w:tc>
          <w:tcPr>
            <w:tcW w:w="2544" w:type="dxa"/>
            <w:vAlign w:val="center"/>
          </w:tcPr>
          <w:p w14:paraId="406BD3A8">
            <w:pPr>
              <w:widowControl/>
              <w:textAlignment w:val="center"/>
              <w:rPr>
                <w:rFonts w:ascii="宋体" w:hAnsi="宋体" w:eastAsia="宋体" w:cs="宋体"/>
                <w:sz w:val="18"/>
                <w:szCs w:val="18"/>
              </w:rPr>
            </w:pPr>
            <w:r>
              <w:rPr>
                <w:rFonts w:hint="eastAsia" w:ascii="宋体" w:hAnsi="宋体" w:eastAsia="宋体" w:cs="宋体"/>
                <w:sz w:val="18"/>
                <w:szCs w:val="18"/>
              </w:rPr>
              <w:t>座椅头枕试验台</w:t>
            </w:r>
          </w:p>
        </w:tc>
        <w:tc>
          <w:tcPr>
            <w:tcW w:w="1933" w:type="dxa"/>
            <w:vAlign w:val="center"/>
          </w:tcPr>
          <w:p w14:paraId="34673D08">
            <w:pPr>
              <w:jc w:val="center"/>
              <w:rPr>
                <w:rFonts w:ascii="宋体" w:hAnsi="宋体" w:eastAsia="宋体" w:cs="宋体"/>
                <w:sz w:val="18"/>
                <w:szCs w:val="18"/>
              </w:rPr>
            </w:pPr>
            <w:r>
              <w:rPr>
                <w:rFonts w:hint="eastAsia" w:ascii="宋体" w:hAnsi="宋体" w:eastAsia="宋体" w:cs="宋体"/>
                <w:sz w:val="18"/>
                <w:szCs w:val="18"/>
              </w:rPr>
              <w:t>拆解、搬运</w:t>
            </w:r>
          </w:p>
          <w:p w14:paraId="1E015ABC">
            <w:pPr>
              <w:jc w:val="center"/>
              <w:rPr>
                <w:rFonts w:ascii="宋体" w:hAnsi="宋体" w:eastAsia="宋体" w:cs="宋体"/>
                <w:sz w:val="18"/>
                <w:szCs w:val="18"/>
              </w:rPr>
            </w:pPr>
            <w:r>
              <w:rPr>
                <w:rFonts w:hint="eastAsia" w:ascii="宋体" w:hAnsi="宋体" w:eastAsia="宋体" w:cs="宋体"/>
                <w:sz w:val="18"/>
                <w:szCs w:val="18"/>
              </w:rPr>
              <w:t>安装就位</w:t>
            </w:r>
          </w:p>
        </w:tc>
        <w:tc>
          <w:tcPr>
            <w:tcW w:w="1335" w:type="dxa"/>
            <w:vAlign w:val="center"/>
          </w:tcPr>
          <w:p w14:paraId="75A603B7">
            <w:pPr>
              <w:jc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3CF08572">
            <w:pPr>
              <w:jc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3FAAAD61">
            <w:pPr>
              <w:jc w:val="center"/>
              <w:rPr>
                <w:rFonts w:ascii="宋体" w:hAnsi="宋体" w:eastAsia="宋体" w:cs="宋体"/>
                <w:sz w:val="18"/>
                <w:szCs w:val="18"/>
              </w:rPr>
            </w:pPr>
          </w:p>
        </w:tc>
        <w:tc>
          <w:tcPr>
            <w:tcW w:w="1355" w:type="dxa"/>
          </w:tcPr>
          <w:p w14:paraId="3808961A">
            <w:pPr>
              <w:rPr>
                <w:rFonts w:ascii="Arial"/>
                <w:sz w:val="24"/>
                <w:szCs w:val="24"/>
              </w:rPr>
            </w:pPr>
          </w:p>
        </w:tc>
      </w:tr>
      <w:tr w14:paraId="0FF24A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05DC9101">
            <w:pPr>
              <w:jc w:val="center"/>
              <w:rPr>
                <w:rFonts w:ascii="宋体" w:hAnsi="宋体" w:eastAsia="宋体" w:cs="宋体"/>
                <w:sz w:val="24"/>
                <w:szCs w:val="24"/>
              </w:rPr>
            </w:pPr>
          </w:p>
        </w:tc>
        <w:tc>
          <w:tcPr>
            <w:tcW w:w="2544" w:type="dxa"/>
            <w:vAlign w:val="center"/>
          </w:tcPr>
          <w:p w14:paraId="17F6C5FE">
            <w:pPr>
              <w:widowControl/>
              <w:textAlignment w:val="center"/>
              <w:rPr>
                <w:rFonts w:ascii="宋体" w:hAnsi="宋体" w:eastAsia="宋体" w:cs="宋体"/>
                <w:sz w:val="18"/>
                <w:szCs w:val="18"/>
              </w:rPr>
            </w:pPr>
          </w:p>
        </w:tc>
        <w:tc>
          <w:tcPr>
            <w:tcW w:w="1933" w:type="dxa"/>
            <w:vAlign w:val="center"/>
          </w:tcPr>
          <w:p w14:paraId="6387B99C">
            <w:pPr>
              <w:jc w:val="center"/>
              <w:rPr>
                <w:rFonts w:ascii="宋体" w:hAnsi="宋体" w:eastAsia="宋体" w:cs="宋体"/>
                <w:sz w:val="18"/>
                <w:szCs w:val="18"/>
              </w:rPr>
            </w:pPr>
            <w:r>
              <w:rPr>
                <w:rFonts w:hint="eastAsia" w:ascii="宋体" w:hAnsi="宋体" w:eastAsia="宋体" w:cs="宋体"/>
                <w:sz w:val="18"/>
                <w:szCs w:val="18"/>
              </w:rPr>
              <w:t>运行计量</w:t>
            </w:r>
          </w:p>
        </w:tc>
        <w:tc>
          <w:tcPr>
            <w:tcW w:w="1335" w:type="dxa"/>
            <w:vAlign w:val="center"/>
          </w:tcPr>
          <w:p w14:paraId="773698E3">
            <w:pPr>
              <w:jc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7AFCA71D">
            <w:pPr>
              <w:jc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3553B077">
            <w:pPr>
              <w:jc w:val="center"/>
              <w:rPr>
                <w:rFonts w:ascii="宋体" w:hAnsi="宋体" w:eastAsia="宋体" w:cs="宋体"/>
                <w:sz w:val="18"/>
                <w:szCs w:val="18"/>
              </w:rPr>
            </w:pPr>
          </w:p>
        </w:tc>
        <w:tc>
          <w:tcPr>
            <w:tcW w:w="1355" w:type="dxa"/>
          </w:tcPr>
          <w:p w14:paraId="4B02DB91">
            <w:pPr>
              <w:rPr>
                <w:rFonts w:ascii="Arial"/>
                <w:sz w:val="24"/>
                <w:szCs w:val="24"/>
              </w:rPr>
            </w:pPr>
          </w:p>
        </w:tc>
      </w:tr>
      <w:tr w14:paraId="08A6ED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47B4BD7">
            <w:pPr>
              <w:jc w:val="center"/>
              <w:rPr>
                <w:rFonts w:ascii="宋体" w:hAnsi="宋体" w:eastAsia="宋体" w:cs="宋体"/>
                <w:sz w:val="24"/>
                <w:szCs w:val="24"/>
              </w:rPr>
            </w:pPr>
            <w:r>
              <w:rPr>
                <w:rFonts w:ascii="宋体" w:hAnsi="宋体" w:eastAsia="宋体" w:cs="宋体"/>
                <w:szCs w:val="21"/>
              </w:rPr>
              <w:t>3</w:t>
            </w:r>
          </w:p>
        </w:tc>
        <w:tc>
          <w:tcPr>
            <w:tcW w:w="2544" w:type="dxa"/>
            <w:vAlign w:val="center"/>
          </w:tcPr>
          <w:p w14:paraId="2895070D">
            <w:pPr>
              <w:widowControl/>
              <w:textAlignment w:val="center"/>
              <w:rPr>
                <w:rFonts w:ascii="宋体" w:hAnsi="宋体" w:eastAsia="宋体" w:cs="宋体"/>
                <w:sz w:val="18"/>
                <w:szCs w:val="18"/>
              </w:rPr>
            </w:pPr>
            <w:r>
              <w:rPr>
                <w:rFonts w:hint="eastAsia" w:ascii="宋体" w:hAnsi="宋体" w:eastAsia="宋体" w:cs="宋体"/>
                <w:sz w:val="18"/>
                <w:szCs w:val="18"/>
              </w:rPr>
              <w:t>多楔带疲劳</w:t>
            </w:r>
          </w:p>
        </w:tc>
        <w:tc>
          <w:tcPr>
            <w:tcW w:w="1933" w:type="dxa"/>
            <w:vAlign w:val="center"/>
          </w:tcPr>
          <w:p w14:paraId="0FCF8F12">
            <w:pPr>
              <w:jc w:val="center"/>
              <w:rPr>
                <w:rFonts w:ascii="宋体" w:hAnsi="宋体" w:eastAsia="宋体" w:cs="宋体"/>
                <w:sz w:val="18"/>
                <w:szCs w:val="18"/>
              </w:rPr>
            </w:pPr>
            <w:r>
              <w:rPr>
                <w:rFonts w:hint="eastAsia" w:ascii="宋体" w:hAnsi="宋体" w:eastAsia="宋体" w:cs="宋体"/>
                <w:sz w:val="18"/>
                <w:szCs w:val="18"/>
              </w:rPr>
              <w:t>拆解、搬运</w:t>
            </w:r>
          </w:p>
          <w:p w14:paraId="1EEF82C4">
            <w:pPr>
              <w:jc w:val="center"/>
              <w:rPr>
                <w:rFonts w:ascii="宋体" w:hAnsi="宋体" w:eastAsia="宋体" w:cs="宋体"/>
                <w:sz w:val="18"/>
                <w:szCs w:val="18"/>
              </w:rPr>
            </w:pPr>
            <w:r>
              <w:rPr>
                <w:rFonts w:hint="eastAsia" w:ascii="宋体" w:hAnsi="宋体" w:eastAsia="宋体" w:cs="宋体"/>
                <w:sz w:val="18"/>
                <w:szCs w:val="18"/>
              </w:rPr>
              <w:t>安装就位</w:t>
            </w:r>
          </w:p>
        </w:tc>
        <w:tc>
          <w:tcPr>
            <w:tcW w:w="1335" w:type="dxa"/>
            <w:vAlign w:val="center"/>
          </w:tcPr>
          <w:p w14:paraId="07BE4DEB">
            <w:pPr>
              <w:jc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4E569236">
            <w:pPr>
              <w:jc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693B532C">
            <w:pPr>
              <w:jc w:val="center"/>
              <w:rPr>
                <w:rFonts w:ascii="宋体" w:hAnsi="宋体" w:eastAsia="宋体" w:cs="宋体"/>
                <w:sz w:val="18"/>
                <w:szCs w:val="18"/>
              </w:rPr>
            </w:pPr>
          </w:p>
        </w:tc>
        <w:tc>
          <w:tcPr>
            <w:tcW w:w="1355" w:type="dxa"/>
          </w:tcPr>
          <w:p w14:paraId="098BC7A4">
            <w:pPr>
              <w:rPr>
                <w:rFonts w:ascii="Arial"/>
                <w:sz w:val="24"/>
                <w:szCs w:val="24"/>
              </w:rPr>
            </w:pPr>
          </w:p>
        </w:tc>
      </w:tr>
      <w:tr w14:paraId="7939D1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2F88A34">
            <w:pPr>
              <w:jc w:val="center"/>
              <w:rPr>
                <w:rFonts w:ascii="宋体" w:hAnsi="宋体" w:eastAsia="宋体" w:cs="宋体"/>
                <w:sz w:val="24"/>
                <w:szCs w:val="24"/>
              </w:rPr>
            </w:pPr>
          </w:p>
        </w:tc>
        <w:tc>
          <w:tcPr>
            <w:tcW w:w="2544" w:type="dxa"/>
            <w:vAlign w:val="center"/>
          </w:tcPr>
          <w:p w14:paraId="4FB6E38C">
            <w:pPr>
              <w:widowControl/>
              <w:textAlignment w:val="center"/>
              <w:rPr>
                <w:rFonts w:ascii="宋体" w:hAnsi="宋体" w:eastAsia="宋体" w:cs="宋体"/>
                <w:sz w:val="18"/>
                <w:szCs w:val="18"/>
              </w:rPr>
            </w:pPr>
          </w:p>
        </w:tc>
        <w:tc>
          <w:tcPr>
            <w:tcW w:w="1933" w:type="dxa"/>
            <w:vAlign w:val="center"/>
          </w:tcPr>
          <w:p w14:paraId="2A56ADC0">
            <w:pPr>
              <w:jc w:val="center"/>
              <w:rPr>
                <w:rFonts w:ascii="宋体" w:hAnsi="宋体" w:eastAsia="宋体" w:cs="宋体"/>
                <w:sz w:val="18"/>
                <w:szCs w:val="18"/>
              </w:rPr>
            </w:pPr>
            <w:r>
              <w:rPr>
                <w:rFonts w:hint="eastAsia" w:ascii="宋体" w:hAnsi="宋体" w:eastAsia="宋体" w:cs="宋体"/>
                <w:sz w:val="18"/>
                <w:szCs w:val="18"/>
              </w:rPr>
              <w:t>运行计量</w:t>
            </w:r>
          </w:p>
        </w:tc>
        <w:tc>
          <w:tcPr>
            <w:tcW w:w="1335" w:type="dxa"/>
            <w:vAlign w:val="center"/>
          </w:tcPr>
          <w:p w14:paraId="2176FEB0">
            <w:pPr>
              <w:widowControl/>
              <w:jc w:val="center"/>
              <w:textAlignment w:val="center"/>
              <w:rPr>
                <w:rFonts w:ascii="宋体" w:hAnsi="宋体" w:eastAsia="宋体" w:cs="宋体"/>
                <w:sz w:val="18"/>
                <w:szCs w:val="18"/>
              </w:rPr>
            </w:pPr>
            <w:r>
              <w:rPr>
                <w:rFonts w:hint="eastAsia" w:ascii="宋体" w:hAnsi="宋体" w:eastAsia="宋体" w:cs="宋体"/>
                <w:sz w:val="18"/>
                <w:szCs w:val="18"/>
              </w:rPr>
              <w:t>1</w:t>
            </w:r>
          </w:p>
        </w:tc>
        <w:tc>
          <w:tcPr>
            <w:tcW w:w="1824" w:type="dxa"/>
            <w:vAlign w:val="center"/>
          </w:tcPr>
          <w:p w14:paraId="11B8E823">
            <w:pPr>
              <w:widowControl/>
              <w:jc w:val="center"/>
              <w:textAlignment w:val="center"/>
              <w:rPr>
                <w:rFonts w:ascii="宋体" w:hAnsi="宋体" w:eastAsia="宋体" w:cs="宋体"/>
                <w:sz w:val="18"/>
                <w:szCs w:val="18"/>
              </w:rPr>
            </w:pPr>
            <w:r>
              <w:rPr>
                <w:rFonts w:hint="eastAsia" w:ascii="宋体" w:hAnsi="宋体" w:eastAsia="宋体" w:cs="宋体"/>
                <w:sz w:val="18"/>
                <w:szCs w:val="18"/>
              </w:rPr>
              <w:t>套</w:t>
            </w:r>
          </w:p>
        </w:tc>
        <w:tc>
          <w:tcPr>
            <w:tcW w:w="2362" w:type="dxa"/>
            <w:tcBorders>
              <w:left w:val="single" w:color="000000" w:sz="4" w:space="0"/>
            </w:tcBorders>
            <w:vAlign w:val="center"/>
          </w:tcPr>
          <w:p w14:paraId="20935289">
            <w:pPr>
              <w:jc w:val="center"/>
              <w:rPr>
                <w:rFonts w:ascii="宋体" w:hAnsi="宋体" w:eastAsia="宋体" w:cs="宋体"/>
                <w:sz w:val="18"/>
                <w:szCs w:val="18"/>
              </w:rPr>
            </w:pPr>
          </w:p>
        </w:tc>
        <w:tc>
          <w:tcPr>
            <w:tcW w:w="1355" w:type="dxa"/>
          </w:tcPr>
          <w:p w14:paraId="496A7BEF">
            <w:pPr>
              <w:rPr>
                <w:rFonts w:ascii="Arial"/>
                <w:sz w:val="24"/>
                <w:szCs w:val="24"/>
              </w:rPr>
            </w:pPr>
          </w:p>
        </w:tc>
      </w:tr>
      <w:tr w14:paraId="66D276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E64E729">
            <w:pPr>
              <w:jc w:val="center"/>
              <w:rPr>
                <w:rFonts w:ascii="宋体" w:hAnsi="宋体" w:eastAsia="宋体" w:cs="宋体"/>
                <w:sz w:val="24"/>
                <w:szCs w:val="24"/>
              </w:rPr>
            </w:pPr>
          </w:p>
        </w:tc>
        <w:tc>
          <w:tcPr>
            <w:tcW w:w="2544" w:type="dxa"/>
          </w:tcPr>
          <w:p w14:paraId="08548509">
            <w:pPr>
              <w:jc w:val="center"/>
              <w:rPr>
                <w:rFonts w:ascii="宋体" w:hAnsi="宋体" w:eastAsia="宋体" w:cs="宋体"/>
                <w:sz w:val="24"/>
                <w:szCs w:val="24"/>
              </w:rPr>
            </w:pPr>
          </w:p>
        </w:tc>
        <w:tc>
          <w:tcPr>
            <w:tcW w:w="1933" w:type="dxa"/>
          </w:tcPr>
          <w:p w14:paraId="1AED7DA0">
            <w:pPr>
              <w:jc w:val="center"/>
              <w:rPr>
                <w:rFonts w:ascii="宋体" w:hAnsi="宋体" w:eastAsia="宋体" w:cs="宋体"/>
                <w:sz w:val="24"/>
                <w:szCs w:val="24"/>
              </w:rPr>
            </w:pPr>
          </w:p>
        </w:tc>
        <w:tc>
          <w:tcPr>
            <w:tcW w:w="1335" w:type="dxa"/>
          </w:tcPr>
          <w:p w14:paraId="10AE576A">
            <w:pPr>
              <w:rPr>
                <w:rFonts w:ascii="Arial"/>
              </w:rPr>
            </w:pPr>
          </w:p>
        </w:tc>
        <w:tc>
          <w:tcPr>
            <w:tcW w:w="1824" w:type="dxa"/>
          </w:tcPr>
          <w:p w14:paraId="510B753A">
            <w:pPr>
              <w:rPr>
                <w:rFonts w:ascii="Arial"/>
              </w:rPr>
            </w:pPr>
          </w:p>
        </w:tc>
        <w:tc>
          <w:tcPr>
            <w:tcW w:w="2362" w:type="dxa"/>
            <w:tcBorders>
              <w:left w:val="single" w:color="000000" w:sz="4" w:space="0"/>
            </w:tcBorders>
          </w:tcPr>
          <w:p w14:paraId="2E52E230">
            <w:pPr>
              <w:rPr>
                <w:rFonts w:ascii="Arial"/>
              </w:rPr>
            </w:pPr>
          </w:p>
        </w:tc>
        <w:tc>
          <w:tcPr>
            <w:tcW w:w="1355" w:type="dxa"/>
          </w:tcPr>
          <w:p w14:paraId="2660C0AF">
            <w:pPr>
              <w:rPr>
                <w:rFonts w:ascii="Arial"/>
              </w:rPr>
            </w:pPr>
          </w:p>
        </w:tc>
      </w:tr>
    </w:tbl>
    <w:p w14:paraId="2BC39FFE">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6F1C9445">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60A4673F">
      <w:pPr>
        <w:spacing w:before="78" w:line="219" w:lineRule="auto"/>
        <w:ind w:left="431"/>
        <w:rPr>
          <w:rFonts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766DC96D">
      <w:pPr>
        <w:spacing w:before="78" w:line="219" w:lineRule="auto"/>
        <w:ind w:left="431"/>
        <w:rPr>
          <w:rFonts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2C287D51">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1DA0B1BC">
      <w:pPr>
        <w:spacing w:before="78" w:line="219" w:lineRule="auto"/>
        <w:ind w:left="431"/>
        <w:rPr>
          <w:rFonts w:ascii="宋体" w:hAnsi="宋体" w:eastAsia="宋体" w:cs="宋体"/>
          <w:spacing w:val="-6"/>
          <w:szCs w:val="21"/>
        </w:rPr>
      </w:pPr>
    </w:p>
    <w:p w14:paraId="4944CFFA">
      <w:pPr>
        <w:spacing w:line="105" w:lineRule="exact"/>
      </w:pPr>
    </w:p>
    <w:p w14:paraId="0E443B58">
      <w:pPr>
        <w:sectPr>
          <w:footerReference r:id="rId28" w:type="default"/>
          <w:pgSz w:w="16841" w:h="11907" w:orient="landscape"/>
          <w:pgMar w:top="400" w:right="1387" w:bottom="1168" w:left="1473" w:header="0" w:footer="990" w:gutter="0"/>
          <w:cols w:equalWidth="0" w:num="1">
            <w:col w:w="13980"/>
          </w:cols>
        </w:sectPr>
      </w:pPr>
    </w:p>
    <w:p w14:paraId="75D030F7">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4A9125C4">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51E2EB18">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183BDF0">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24A3DD7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2021年1月1日至今同类项目业绩一览表</w:t>
      </w:r>
    </w:p>
    <w:p w14:paraId="25B5A83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产品试验检测中心气压脉冲试验台、座椅头枕强度试验台、多楔带试验台项目</w:t>
      </w:r>
      <w:r>
        <w:rPr>
          <w:rFonts w:ascii="宋体" w:hAnsi="宋体" w:eastAsia="宋体" w:cs="Times New Roman"/>
          <w:color w:val="000000"/>
          <w:sz w:val="24"/>
          <w:szCs w:val="24"/>
        </w:rPr>
        <w:t xml:space="preserve">                                                           </w:t>
      </w:r>
    </w:p>
    <w:tbl>
      <w:tblPr>
        <w:tblStyle w:val="4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90D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4A576ADD">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21CC183C">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757DCE70">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64DE30C">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46160851">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1D8114D2">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58DE178B">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3509415F">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542DDA07">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36AB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21859FD">
            <w:pPr>
              <w:ind w:left="420" w:hanging="420"/>
              <w:rPr>
                <w:rFonts w:ascii="宋体" w:hAnsi="Times New Roman" w:eastAsia="宋体" w:cs="Times New Roman"/>
                <w:b/>
                <w:szCs w:val="20"/>
              </w:rPr>
            </w:pPr>
          </w:p>
        </w:tc>
        <w:tc>
          <w:tcPr>
            <w:tcW w:w="2082" w:type="dxa"/>
          </w:tcPr>
          <w:p w14:paraId="0A1E907F">
            <w:pPr>
              <w:ind w:left="420" w:hanging="420"/>
              <w:rPr>
                <w:rFonts w:ascii="宋体" w:hAnsi="Times New Roman" w:eastAsia="宋体" w:cs="Times New Roman"/>
                <w:b/>
                <w:szCs w:val="20"/>
              </w:rPr>
            </w:pPr>
          </w:p>
        </w:tc>
        <w:tc>
          <w:tcPr>
            <w:tcW w:w="1355" w:type="dxa"/>
          </w:tcPr>
          <w:p w14:paraId="1AD962EF">
            <w:pPr>
              <w:ind w:left="420" w:hanging="420"/>
              <w:rPr>
                <w:rFonts w:ascii="宋体" w:hAnsi="Times New Roman" w:eastAsia="宋体" w:cs="Times New Roman"/>
                <w:b/>
                <w:szCs w:val="20"/>
              </w:rPr>
            </w:pPr>
          </w:p>
        </w:tc>
        <w:tc>
          <w:tcPr>
            <w:tcW w:w="826" w:type="dxa"/>
          </w:tcPr>
          <w:p w14:paraId="4F687969">
            <w:pPr>
              <w:ind w:left="420" w:hanging="420"/>
              <w:rPr>
                <w:rFonts w:ascii="宋体" w:hAnsi="Times New Roman" w:eastAsia="宋体" w:cs="Times New Roman"/>
                <w:b/>
                <w:szCs w:val="20"/>
              </w:rPr>
            </w:pPr>
          </w:p>
        </w:tc>
        <w:tc>
          <w:tcPr>
            <w:tcW w:w="1320" w:type="dxa"/>
          </w:tcPr>
          <w:p w14:paraId="245B0DAB">
            <w:pPr>
              <w:ind w:left="420" w:hanging="420"/>
              <w:rPr>
                <w:rFonts w:ascii="宋体" w:hAnsi="Times New Roman" w:eastAsia="宋体" w:cs="Times New Roman"/>
                <w:b/>
                <w:szCs w:val="20"/>
              </w:rPr>
            </w:pPr>
          </w:p>
        </w:tc>
        <w:tc>
          <w:tcPr>
            <w:tcW w:w="1023" w:type="dxa"/>
          </w:tcPr>
          <w:p w14:paraId="45885A37">
            <w:pPr>
              <w:ind w:left="420" w:hanging="420"/>
              <w:rPr>
                <w:rFonts w:ascii="宋体" w:hAnsi="Times New Roman" w:eastAsia="宋体" w:cs="Times New Roman"/>
                <w:b/>
                <w:szCs w:val="20"/>
              </w:rPr>
            </w:pPr>
          </w:p>
        </w:tc>
        <w:tc>
          <w:tcPr>
            <w:tcW w:w="1590" w:type="dxa"/>
          </w:tcPr>
          <w:p w14:paraId="3C03B521">
            <w:pPr>
              <w:ind w:left="420" w:hanging="420"/>
              <w:rPr>
                <w:rFonts w:ascii="宋体" w:hAnsi="Times New Roman" w:eastAsia="宋体" w:cs="Times New Roman"/>
                <w:b/>
                <w:szCs w:val="20"/>
              </w:rPr>
            </w:pPr>
          </w:p>
        </w:tc>
      </w:tr>
      <w:tr w14:paraId="3CBAE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2BB314C">
            <w:pPr>
              <w:ind w:left="420" w:hanging="420"/>
              <w:rPr>
                <w:rFonts w:ascii="宋体" w:hAnsi="Times New Roman" w:eastAsia="宋体" w:cs="Times New Roman"/>
                <w:b/>
                <w:szCs w:val="20"/>
              </w:rPr>
            </w:pPr>
          </w:p>
        </w:tc>
        <w:tc>
          <w:tcPr>
            <w:tcW w:w="2082" w:type="dxa"/>
          </w:tcPr>
          <w:p w14:paraId="65B0A525">
            <w:pPr>
              <w:ind w:left="420" w:hanging="420"/>
              <w:rPr>
                <w:rFonts w:ascii="宋体" w:hAnsi="Times New Roman" w:eastAsia="宋体" w:cs="Times New Roman"/>
                <w:b/>
                <w:szCs w:val="20"/>
              </w:rPr>
            </w:pPr>
          </w:p>
        </w:tc>
        <w:tc>
          <w:tcPr>
            <w:tcW w:w="1355" w:type="dxa"/>
          </w:tcPr>
          <w:p w14:paraId="711BF45D">
            <w:pPr>
              <w:ind w:left="420" w:hanging="420"/>
              <w:rPr>
                <w:rFonts w:ascii="宋体" w:hAnsi="Times New Roman" w:eastAsia="宋体" w:cs="Times New Roman"/>
                <w:b/>
                <w:szCs w:val="20"/>
              </w:rPr>
            </w:pPr>
          </w:p>
        </w:tc>
        <w:tc>
          <w:tcPr>
            <w:tcW w:w="826" w:type="dxa"/>
          </w:tcPr>
          <w:p w14:paraId="6AC569CA">
            <w:pPr>
              <w:ind w:left="420" w:hanging="420"/>
              <w:rPr>
                <w:rFonts w:ascii="宋体" w:hAnsi="Times New Roman" w:eastAsia="宋体" w:cs="Times New Roman"/>
                <w:b/>
                <w:szCs w:val="20"/>
              </w:rPr>
            </w:pPr>
          </w:p>
        </w:tc>
        <w:tc>
          <w:tcPr>
            <w:tcW w:w="1320" w:type="dxa"/>
          </w:tcPr>
          <w:p w14:paraId="23496A56">
            <w:pPr>
              <w:ind w:left="420" w:hanging="420"/>
              <w:rPr>
                <w:rFonts w:ascii="宋体" w:hAnsi="Times New Roman" w:eastAsia="宋体" w:cs="Times New Roman"/>
                <w:b/>
                <w:szCs w:val="20"/>
              </w:rPr>
            </w:pPr>
          </w:p>
        </w:tc>
        <w:tc>
          <w:tcPr>
            <w:tcW w:w="1023" w:type="dxa"/>
          </w:tcPr>
          <w:p w14:paraId="5C451ECA">
            <w:pPr>
              <w:ind w:left="420" w:hanging="420"/>
              <w:rPr>
                <w:rFonts w:ascii="宋体" w:hAnsi="Times New Roman" w:eastAsia="宋体" w:cs="Times New Roman"/>
                <w:b/>
                <w:szCs w:val="20"/>
              </w:rPr>
            </w:pPr>
          </w:p>
        </w:tc>
        <w:tc>
          <w:tcPr>
            <w:tcW w:w="1590" w:type="dxa"/>
          </w:tcPr>
          <w:p w14:paraId="102FE823">
            <w:pPr>
              <w:ind w:left="420" w:hanging="420"/>
              <w:rPr>
                <w:rFonts w:ascii="宋体" w:hAnsi="Times New Roman" w:eastAsia="宋体" w:cs="Times New Roman"/>
                <w:b/>
                <w:szCs w:val="20"/>
              </w:rPr>
            </w:pPr>
          </w:p>
        </w:tc>
      </w:tr>
      <w:tr w14:paraId="38C39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20F0DF">
            <w:pPr>
              <w:ind w:left="420" w:hanging="420"/>
              <w:rPr>
                <w:rFonts w:ascii="宋体" w:hAnsi="Times New Roman" w:eastAsia="宋体" w:cs="Times New Roman"/>
                <w:b/>
                <w:szCs w:val="20"/>
              </w:rPr>
            </w:pPr>
          </w:p>
        </w:tc>
        <w:tc>
          <w:tcPr>
            <w:tcW w:w="2082" w:type="dxa"/>
          </w:tcPr>
          <w:p w14:paraId="72E5278C">
            <w:pPr>
              <w:ind w:left="420" w:hanging="420"/>
              <w:rPr>
                <w:rFonts w:ascii="宋体" w:hAnsi="Times New Roman" w:eastAsia="宋体" w:cs="Times New Roman"/>
                <w:b/>
                <w:szCs w:val="20"/>
              </w:rPr>
            </w:pPr>
          </w:p>
        </w:tc>
        <w:tc>
          <w:tcPr>
            <w:tcW w:w="1355" w:type="dxa"/>
          </w:tcPr>
          <w:p w14:paraId="23803412">
            <w:pPr>
              <w:ind w:left="420" w:hanging="420"/>
              <w:rPr>
                <w:rFonts w:ascii="宋体" w:hAnsi="Times New Roman" w:eastAsia="宋体" w:cs="Times New Roman"/>
                <w:b/>
                <w:szCs w:val="20"/>
              </w:rPr>
            </w:pPr>
          </w:p>
        </w:tc>
        <w:tc>
          <w:tcPr>
            <w:tcW w:w="826" w:type="dxa"/>
          </w:tcPr>
          <w:p w14:paraId="113ADFC5">
            <w:pPr>
              <w:ind w:left="420" w:hanging="420"/>
              <w:rPr>
                <w:rFonts w:ascii="宋体" w:hAnsi="Times New Roman" w:eastAsia="宋体" w:cs="Times New Roman"/>
                <w:b/>
                <w:szCs w:val="20"/>
              </w:rPr>
            </w:pPr>
          </w:p>
        </w:tc>
        <w:tc>
          <w:tcPr>
            <w:tcW w:w="1320" w:type="dxa"/>
          </w:tcPr>
          <w:p w14:paraId="503CB35C">
            <w:pPr>
              <w:ind w:left="420" w:hanging="420"/>
              <w:rPr>
                <w:rFonts w:ascii="宋体" w:hAnsi="Times New Roman" w:eastAsia="宋体" w:cs="Times New Roman"/>
                <w:b/>
                <w:szCs w:val="20"/>
              </w:rPr>
            </w:pPr>
          </w:p>
        </w:tc>
        <w:tc>
          <w:tcPr>
            <w:tcW w:w="1023" w:type="dxa"/>
          </w:tcPr>
          <w:p w14:paraId="21BC3729">
            <w:pPr>
              <w:ind w:left="420" w:hanging="420"/>
              <w:rPr>
                <w:rFonts w:ascii="宋体" w:hAnsi="Times New Roman" w:eastAsia="宋体" w:cs="Times New Roman"/>
                <w:b/>
                <w:szCs w:val="20"/>
              </w:rPr>
            </w:pPr>
          </w:p>
        </w:tc>
        <w:tc>
          <w:tcPr>
            <w:tcW w:w="1590" w:type="dxa"/>
          </w:tcPr>
          <w:p w14:paraId="6B2BE686">
            <w:pPr>
              <w:ind w:left="420" w:hanging="420"/>
              <w:rPr>
                <w:rFonts w:ascii="宋体" w:hAnsi="Times New Roman" w:eastAsia="宋体" w:cs="Times New Roman"/>
                <w:b/>
                <w:szCs w:val="20"/>
              </w:rPr>
            </w:pPr>
          </w:p>
        </w:tc>
      </w:tr>
      <w:tr w14:paraId="4DD42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4814FD">
            <w:pPr>
              <w:ind w:left="420" w:hanging="420"/>
              <w:rPr>
                <w:rFonts w:ascii="宋体" w:hAnsi="Times New Roman" w:eastAsia="宋体" w:cs="Times New Roman"/>
                <w:b/>
                <w:szCs w:val="20"/>
              </w:rPr>
            </w:pPr>
          </w:p>
        </w:tc>
        <w:tc>
          <w:tcPr>
            <w:tcW w:w="2082" w:type="dxa"/>
          </w:tcPr>
          <w:p w14:paraId="6F523644">
            <w:pPr>
              <w:ind w:left="420" w:hanging="420"/>
              <w:rPr>
                <w:rFonts w:ascii="宋体" w:hAnsi="Times New Roman" w:eastAsia="宋体" w:cs="Times New Roman"/>
                <w:b/>
                <w:szCs w:val="20"/>
              </w:rPr>
            </w:pPr>
          </w:p>
        </w:tc>
        <w:tc>
          <w:tcPr>
            <w:tcW w:w="1355" w:type="dxa"/>
          </w:tcPr>
          <w:p w14:paraId="00DC2500">
            <w:pPr>
              <w:ind w:left="420" w:hanging="420"/>
              <w:rPr>
                <w:rFonts w:ascii="宋体" w:hAnsi="Times New Roman" w:eastAsia="宋体" w:cs="Times New Roman"/>
                <w:b/>
                <w:szCs w:val="20"/>
              </w:rPr>
            </w:pPr>
          </w:p>
        </w:tc>
        <w:tc>
          <w:tcPr>
            <w:tcW w:w="826" w:type="dxa"/>
          </w:tcPr>
          <w:p w14:paraId="2CEBEC14">
            <w:pPr>
              <w:ind w:left="420" w:hanging="420"/>
              <w:rPr>
                <w:rFonts w:ascii="宋体" w:hAnsi="Times New Roman" w:eastAsia="宋体" w:cs="Times New Roman"/>
                <w:b/>
                <w:szCs w:val="20"/>
              </w:rPr>
            </w:pPr>
          </w:p>
        </w:tc>
        <w:tc>
          <w:tcPr>
            <w:tcW w:w="1320" w:type="dxa"/>
          </w:tcPr>
          <w:p w14:paraId="559668E5">
            <w:pPr>
              <w:ind w:left="420" w:hanging="420"/>
              <w:rPr>
                <w:rFonts w:ascii="宋体" w:hAnsi="Times New Roman" w:eastAsia="宋体" w:cs="Times New Roman"/>
                <w:b/>
                <w:szCs w:val="20"/>
              </w:rPr>
            </w:pPr>
          </w:p>
        </w:tc>
        <w:tc>
          <w:tcPr>
            <w:tcW w:w="1023" w:type="dxa"/>
          </w:tcPr>
          <w:p w14:paraId="6E3D8A1E">
            <w:pPr>
              <w:ind w:left="420" w:hanging="420"/>
              <w:rPr>
                <w:rFonts w:ascii="宋体" w:hAnsi="Times New Roman" w:eastAsia="宋体" w:cs="Times New Roman"/>
                <w:b/>
                <w:szCs w:val="20"/>
              </w:rPr>
            </w:pPr>
          </w:p>
        </w:tc>
        <w:tc>
          <w:tcPr>
            <w:tcW w:w="1590" w:type="dxa"/>
          </w:tcPr>
          <w:p w14:paraId="0694A4BB">
            <w:pPr>
              <w:ind w:left="420" w:hanging="420"/>
              <w:rPr>
                <w:rFonts w:ascii="宋体" w:hAnsi="Times New Roman" w:eastAsia="宋体" w:cs="Times New Roman"/>
                <w:b/>
                <w:szCs w:val="20"/>
              </w:rPr>
            </w:pPr>
          </w:p>
        </w:tc>
      </w:tr>
      <w:tr w14:paraId="02554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8D7E1B3">
            <w:pPr>
              <w:ind w:left="420" w:hanging="420"/>
              <w:rPr>
                <w:rFonts w:ascii="宋体" w:hAnsi="Times New Roman" w:eastAsia="宋体" w:cs="Times New Roman"/>
                <w:b/>
                <w:szCs w:val="20"/>
              </w:rPr>
            </w:pPr>
          </w:p>
        </w:tc>
        <w:tc>
          <w:tcPr>
            <w:tcW w:w="2082" w:type="dxa"/>
          </w:tcPr>
          <w:p w14:paraId="56E19722">
            <w:pPr>
              <w:ind w:left="420" w:hanging="420"/>
              <w:rPr>
                <w:rFonts w:ascii="宋体" w:hAnsi="Times New Roman" w:eastAsia="宋体" w:cs="Times New Roman"/>
                <w:b/>
                <w:szCs w:val="20"/>
              </w:rPr>
            </w:pPr>
          </w:p>
        </w:tc>
        <w:tc>
          <w:tcPr>
            <w:tcW w:w="1355" w:type="dxa"/>
          </w:tcPr>
          <w:p w14:paraId="3A45AA82">
            <w:pPr>
              <w:ind w:left="420" w:hanging="420"/>
              <w:rPr>
                <w:rFonts w:ascii="宋体" w:hAnsi="Times New Roman" w:eastAsia="宋体" w:cs="Times New Roman"/>
                <w:b/>
                <w:szCs w:val="20"/>
              </w:rPr>
            </w:pPr>
          </w:p>
        </w:tc>
        <w:tc>
          <w:tcPr>
            <w:tcW w:w="826" w:type="dxa"/>
          </w:tcPr>
          <w:p w14:paraId="118F1F41">
            <w:pPr>
              <w:ind w:left="420" w:hanging="420"/>
              <w:rPr>
                <w:rFonts w:ascii="宋体" w:hAnsi="Times New Roman" w:eastAsia="宋体" w:cs="Times New Roman"/>
                <w:b/>
                <w:szCs w:val="20"/>
              </w:rPr>
            </w:pPr>
          </w:p>
        </w:tc>
        <w:tc>
          <w:tcPr>
            <w:tcW w:w="1320" w:type="dxa"/>
          </w:tcPr>
          <w:p w14:paraId="67805A19">
            <w:pPr>
              <w:ind w:left="420" w:hanging="420"/>
              <w:rPr>
                <w:rFonts w:ascii="宋体" w:hAnsi="Times New Roman" w:eastAsia="宋体" w:cs="Times New Roman"/>
                <w:b/>
                <w:szCs w:val="20"/>
              </w:rPr>
            </w:pPr>
          </w:p>
        </w:tc>
        <w:tc>
          <w:tcPr>
            <w:tcW w:w="1023" w:type="dxa"/>
          </w:tcPr>
          <w:p w14:paraId="214C749D">
            <w:pPr>
              <w:ind w:left="420" w:hanging="420"/>
              <w:rPr>
                <w:rFonts w:ascii="宋体" w:hAnsi="Times New Roman" w:eastAsia="宋体" w:cs="Times New Roman"/>
                <w:b/>
                <w:szCs w:val="20"/>
              </w:rPr>
            </w:pPr>
          </w:p>
        </w:tc>
        <w:tc>
          <w:tcPr>
            <w:tcW w:w="1590" w:type="dxa"/>
          </w:tcPr>
          <w:p w14:paraId="2EF28DD9">
            <w:pPr>
              <w:ind w:left="420" w:hanging="420"/>
              <w:rPr>
                <w:rFonts w:ascii="宋体" w:hAnsi="Times New Roman" w:eastAsia="宋体" w:cs="Times New Roman"/>
                <w:b/>
                <w:szCs w:val="20"/>
              </w:rPr>
            </w:pPr>
          </w:p>
        </w:tc>
      </w:tr>
      <w:tr w14:paraId="3B3DA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45FE6B">
            <w:pPr>
              <w:ind w:left="420" w:hanging="420"/>
              <w:rPr>
                <w:rFonts w:ascii="宋体" w:hAnsi="Times New Roman" w:eastAsia="宋体" w:cs="Times New Roman"/>
                <w:b/>
                <w:szCs w:val="20"/>
              </w:rPr>
            </w:pPr>
          </w:p>
        </w:tc>
        <w:tc>
          <w:tcPr>
            <w:tcW w:w="2082" w:type="dxa"/>
          </w:tcPr>
          <w:p w14:paraId="2A2CF249">
            <w:pPr>
              <w:ind w:left="420" w:hanging="420"/>
              <w:rPr>
                <w:rFonts w:ascii="宋体" w:hAnsi="Times New Roman" w:eastAsia="宋体" w:cs="Times New Roman"/>
                <w:b/>
                <w:szCs w:val="20"/>
              </w:rPr>
            </w:pPr>
          </w:p>
        </w:tc>
        <w:tc>
          <w:tcPr>
            <w:tcW w:w="1355" w:type="dxa"/>
          </w:tcPr>
          <w:p w14:paraId="55B3DDB1">
            <w:pPr>
              <w:ind w:left="420" w:hanging="420"/>
              <w:rPr>
                <w:rFonts w:ascii="宋体" w:hAnsi="Times New Roman" w:eastAsia="宋体" w:cs="Times New Roman"/>
                <w:b/>
                <w:szCs w:val="20"/>
              </w:rPr>
            </w:pPr>
          </w:p>
        </w:tc>
        <w:tc>
          <w:tcPr>
            <w:tcW w:w="826" w:type="dxa"/>
          </w:tcPr>
          <w:p w14:paraId="29EEA448">
            <w:pPr>
              <w:ind w:left="420" w:hanging="420"/>
              <w:rPr>
                <w:rFonts w:ascii="宋体" w:hAnsi="Times New Roman" w:eastAsia="宋体" w:cs="Times New Roman"/>
                <w:b/>
                <w:szCs w:val="20"/>
              </w:rPr>
            </w:pPr>
          </w:p>
        </w:tc>
        <w:tc>
          <w:tcPr>
            <w:tcW w:w="1320" w:type="dxa"/>
          </w:tcPr>
          <w:p w14:paraId="2F465F83">
            <w:pPr>
              <w:ind w:left="420" w:hanging="420"/>
              <w:rPr>
                <w:rFonts w:ascii="宋体" w:hAnsi="Times New Roman" w:eastAsia="宋体" w:cs="Times New Roman"/>
                <w:b/>
                <w:szCs w:val="20"/>
              </w:rPr>
            </w:pPr>
          </w:p>
        </w:tc>
        <w:tc>
          <w:tcPr>
            <w:tcW w:w="1023" w:type="dxa"/>
          </w:tcPr>
          <w:p w14:paraId="7AA5C30D">
            <w:pPr>
              <w:ind w:left="420" w:hanging="420"/>
              <w:rPr>
                <w:rFonts w:ascii="宋体" w:hAnsi="Times New Roman" w:eastAsia="宋体" w:cs="Times New Roman"/>
                <w:b/>
                <w:szCs w:val="20"/>
              </w:rPr>
            </w:pPr>
          </w:p>
        </w:tc>
        <w:tc>
          <w:tcPr>
            <w:tcW w:w="1590" w:type="dxa"/>
          </w:tcPr>
          <w:p w14:paraId="74559421">
            <w:pPr>
              <w:ind w:left="420" w:hanging="420"/>
              <w:rPr>
                <w:rFonts w:ascii="宋体" w:hAnsi="Times New Roman" w:eastAsia="宋体" w:cs="Times New Roman"/>
                <w:b/>
                <w:szCs w:val="20"/>
              </w:rPr>
            </w:pPr>
          </w:p>
        </w:tc>
      </w:tr>
      <w:tr w14:paraId="7D0BA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494CF14">
            <w:pPr>
              <w:ind w:left="420" w:hanging="420"/>
              <w:rPr>
                <w:rFonts w:ascii="宋体" w:hAnsi="Times New Roman" w:eastAsia="宋体" w:cs="Times New Roman"/>
                <w:b/>
                <w:szCs w:val="20"/>
              </w:rPr>
            </w:pPr>
          </w:p>
        </w:tc>
        <w:tc>
          <w:tcPr>
            <w:tcW w:w="2082" w:type="dxa"/>
          </w:tcPr>
          <w:p w14:paraId="380F053A">
            <w:pPr>
              <w:ind w:left="420" w:hanging="420"/>
              <w:rPr>
                <w:rFonts w:ascii="宋体" w:hAnsi="Times New Roman" w:eastAsia="宋体" w:cs="Times New Roman"/>
                <w:b/>
                <w:szCs w:val="20"/>
              </w:rPr>
            </w:pPr>
          </w:p>
        </w:tc>
        <w:tc>
          <w:tcPr>
            <w:tcW w:w="1355" w:type="dxa"/>
          </w:tcPr>
          <w:p w14:paraId="5809C557">
            <w:pPr>
              <w:ind w:left="420" w:hanging="420"/>
              <w:rPr>
                <w:rFonts w:ascii="宋体" w:hAnsi="Times New Roman" w:eastAsia="宋体" w:cs="Times New Roman"/>
                <w:b/>
                <w:szCs w:val="20"/>
              </w:rPr>
            </w:pPr>
          </w:p>
        </w:tc>
        <w:tc>
          <w:tcPr>
            <w:tcW w:w="826" w:type="dxa"/>
          </w:tcPr>
          <w:p w14:paraId="0376A2C5">
            <w:pPr>
              <w:ind w:left="420" w:hanging="420"/>
              <w:rPr>
                <w:rFonts w:ascii="宋体" w:hAnsi="Times New Roman" w:eastAsia="宋体" w:cs="Times New Roman"/>
                <w:b/>
                <w:szCs w:val="20"/>
              </w:rPr>
            </w:pPr>
          </w:p>
        </w:tc>
        <w:tc>
          <w:tcPr>
            <w:tcW w:w="1320" w:type="dxa"/>
          </w:tcPr>
          <w:p w14:paraId="1E071B99">
            <w:pPr>
              <w:ind w:left="420" w:hanging="420"/>
              <w:rPr>
                <w:rFonts w:ascii="宋体" w:hAnsi="Times New Roman" w:eastAsia="宋体" w:cs="Times New Roman"/>
                <w:b/>
                <w:szCs w:val="20"/>
              </w:rPr>
            </w:pPr>
          </w:p>
        </w:tc>
        <w:tc>
          <w:tcPr>
            <w:tcW w:w="1023" w:type="dxa"/>
          </w:tcPr>
          <w:p w14:paraId="66AEA175">
            <w:pPr>
              <w:ind w:left="420" w:hanging="420"/>
              <w:rPr>
                <w:rFonts w:ascii="宋体" w:hAnsi="Times New Roman" w:eastAsia="宋体" w:cs="Times New Roman"/>
                <w:b/>
                <w:szCs w:val="20"/>
              </w:rPr>
            </w:pPr>
          </w:p>
        </w:tc>
        <w:tc>
          <w:tcPr>
            <w:tcW w:w="1590" w:type="dxa"/>
          </w:tcPr>
          <w:p w14:paraId="3A82FB3E">
            <w:pPr>
              <w:ind w:left="420" w:hanging="420"/>
              <w:rPr>
                <w:rFonts w:ascii="宋体" w:hAnsi="Times New Roman" w:eastAsia="宋体" w:cs="Times New Roman"/>
                <w:b/>
                <w:szCs w:val="20"/>
              </w:rPr>
            </w:pPr>
          </w:p>
        </w:tc>
      </w:tr>
      <w:tr w14:paraId="45415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5A7F20">
            <w:pPr>
              <w:ind w:left="420" w:hanging="420"/>
              <w:rPr>
                <w:rFonts w:ascii="宋体" w:hAnsi="Times New Roman" w:eastAsia="宋体" w:cs="Times New Roman"/>
                <w:b/>
                <w:szCs w:val="20"/>
              </w:rPr>
            </w:pPr>
          </w:p>
        </w:tc>
        <w:tc>
          <w:tcPr>
            <w:tcW w:w="2082" w:type="dxa"/>
          </w:tcPr>
          <w:p w14:paraId="1F2AE9DE">
            <w:pPr>
              <w:ind w:left="420" w:hanging="420"/>
              <w:rPr>
                <w:rFonts w:ascii="宋体" w:hAnsi="Times New Roman" w:eastAsia="宋体" w:cs="Times New Roman"/>
                <w:b/>
                <w:szCs w:val="20"/>
              </w:rPr>
            </w:pPr>
          </w:p>
        </w:tc>
        <w:tc>
          <w:tcPr>
            <w:tcW w:w="1355" w:type="dxa"/>
          </w:tcPr>
          <w:p w14:paraId="63911ADB">
            <w:pPr>
              <w:ind w:left="420" w:hanging="420"/>
              <w:rPr>
                <w:rFonts w:ascii="宋体" w:hAnsi="Times New Roman" w:eastAsia="宋体" w:cs="Times New Roman"/>
                <w:b/>
                <w:szCs w:val="20"/>
              </w:rPr>
            </w:pPr>
          </w:p>
        </w:tc>
        <w:tc>
          <w:tcPr>
            <w:tcW w:w="826" w:type="dxa"/>
          </w:tcPr>
          <w:p w14:paraId="630FBF55">
            <w:pPr>
              <w:ind w:left="420" w:hanging="420"/>
              <w:rPr>
                <w:rFonts w:ascii="宋体" w:hAnsi="Times New Roman" w:eastAsia="宋体" w:cs="Times New Roman"/>
                <w:b/>
                <w:szCs w:val="20"/>
              </w:rPr>
            </w:pPr>
          </w:p>
        </w:tc>
        <w:tc>
          <w:tcPr>
            <w:tcW w:w="1320" w:type="dxa"/>
          </w:tcPr>
          <w:p w14:paraId="53BF96E1">
            <w:pPr>
              <w:ind w:left="420" w:hanging="420"/>
              <w:rPr>
                <w:rFonts w:ascii="宋体" w:hAnsi="Times New Roman" w:eastAsia="宋体" w:cs="Times New Roman"/>
                <w:b/>
                <w:szCs w:val="20"/>
              </w:rPr>
            </w:pPr>
          </w:p>
        </w:tc>
        <w:tc>
          <w:tcPr>
            <w:tcW w:w="1023" w:type="dxa"/>
          </w:tcPr>
          <w:p w14:paraId="5817401F">
            <w:pPr>
              <w:ind w:left="420" w:hanging="420"/>
              <w:rPr>
                <w:rFonts w:ascii="宋体" w:hAnsi="Times New Roman" w:eastAsia="宋体" w:cs="Times New Roman"/>
                <w:b/>
                <w:szCs w:val="20"/>
              </w:rPr>
            </w:pPr>
          </w:p>
        </w:tc>
        <w:tc>
          <w:tcPr>
            <w:tcW w:w="1590" w:type="dxa"/>
          </w:tcPr>
          <w:p w14:paraId="0C0E0540">
            <w:pPr>
              <w:ind w:left="420" w:hanging="420"/>
              <w:rPr>
                <w:rFonts w:ascii="宋体" w:hAnsi="Times New Roman" w:eastAsia="宋体" w:cs="Times New Roman"/>
                <w:b/>
                <w:szCs w:val="20"/>
              </w:rPr>
            </w:pPr>
          </w:p>
        </w:tc>
      </w:tr>
      <w:tr w14:paraId="0A8D5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A135064">
            <w:pPr>
              <w:ind w:left="420" w:hanging="420"/>
              <w:rPr>
                <w:rFonts w:ascii="宋体" w:hAnsi="Times New Roman" w:eastAsia="宋体" w:cs="Times New Roman"/>
                <w:b/>
                <w:szCs w:val="20"/>
              </w:rPr>
            </w:pPr>
          </w:p>
        </w:tc>
        <w:tc>
          <w:tcPr>
            <w:tcW w:w="2082" w:type="dxa"/>
          </w:tcPr>
          <w:p w14:paraId="1D1D6070">
            <w:pPr>
              <w:ind w:left="420" w:hanging="420"/>
              <w:rPr>
                <w:rFonts w:ascii="宋体" w:hAnsi="Times New Roman" w:eastAsia="宋体" w:cs="Times New Roman"/>
                <w:b/>
                <w:szCs w:val="20"/>
              </w:rPr>
            </w:pPr>
          </w:p>
        </w:tc>
        <w:tc>
          <w:tcPr>
            <w:tcW w:w="1355" w:type="dxa"/>
          </w:tcPr>
          <w:p w14:paraId="0E72D34A">
            <w:pPr>
              <w:ind w:left="420" w:hanging="420"/>
              <w:rPr>
                <w:rFonts w:ascii="宋体" w:hAnsi="Times New Roman" w:eastAsia="宋体" w:cs="Times New Roman"/>
                <w:b/>
                <w:szCs w:val="20"/>
              </w:rPr>
            </w:pPr>
          </w:p>
        </w:tc>
        <w:tc>
          <w:tcPr>
            <w:tcW w:w="826" w:type="dxa"/>
          </w:tcPr>
          <w:p w14:paraId="60BA7307">
            <w:pPr>
              <w:ind w:left="420" w:hanging="420"/>
              <w:rPr>
                <w:rFonts w:ascii="宋体" w:hAnsi="Times New Roman" w:eastAsia="宋体" w:cs="Times New Roman"/>
                <w:b/>
                <w:szCs w:val="20"/>
              </w:rPr>
            </w:pPr>
          </w:p>
        </w:tc>
        <w:tc>
          <w:tcPr>
            <w:tcW w:w="1320" w:type="dxa"/>
          </w:tcPr>
          <w:p w14:paraId="157DB350">
            <w:pPr>
              <w:ind w:left="420" w:hanging="420"/>
              <w:rPr>
                <w:rFonts w:ascii="宋体" w:hAnsi="Times New Roman" w:eastAsia="宋体" w:cs="Times New Roman"/>
                <w:b/>
                <w:szCs w:val="20"/>
              </w:rPr>
            </w:pPr>
          </w:p>
        </w:tc>
        <w:tc>
          <w:tcPr>
            <w:tcW w:w="1023" w:type="dxa"/>
          </w:tcPr>
          <w:p w14:paraId="517E3D54">
            <w:pPr>
              <w:ind w:left="420" w:hanging="420"/>
              <w:rPr>
                <w:rFonts w:ascii="宋体" w:hAnsi="Times New Roman" w:eastAsia="宋体" w:cs="Times New Roman"/>
                <w:b/>
                <w:szCs w:val="20"/>
              </w:rPr>
            </w:pPr>
          </w:p>
        </w:tc>
        <w:tc>
          <w:tcPr>
            <w:tcW w:w="1590" w:type="dxa"/>
          </w:tcPr>
          <w:p w14:paraId="76274990">
            <w:pPr>
              <w:ind w:left="420" w:hanging="420"/>
              <w:rPr>
                <w:rFonts w:ascii="宋体" w:hAnsi="Times New Roman" w:eastAsia="宋体" w:cs="Times New Roman"/>
                <w:b/>
                <w:szCs w:val="20"/>
              </w:rPr>
            </w:pPr>
          </w:p>
        </w:tc>
      </w:tr>
      <w:tr w14:paraId="193BE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BF01F5">
            <w:pPr>
              <w:ind w:left="420" w:hanging="420"/>
              <w:rPr>
                <w:rFonts w:ascii="宋体" w:hAnsi="Times New Roman" w:eastAsia="宋体" w:cs="Times New Roman"/>
                <w:b/>
                <w:szCs w:val="20"/>
              </w:rPr>
            </w:pPr>
          </w:p>
        </w:tc>
        <w:tc>
          <w:tcPr>
            <w:tcW w:w="2082" w:type="dxa"/>
          </w:tcPr>
          <w:p w14:paraId="2A5C4433">
            <w:pPr>
              <w:ind w:left="420" w:hanging="420"/>
              <w:rPr>
                <w:rFonts w:ascii="宋体" w:hAnsi="Times New Roman" w:eastAsia="宋体" w:cs="Times New Roman"/>
                <w:b/>
                <w:szCs w:val="20"/>
              </w:rPr>
            </w:pPr>
          </w:p>
        </w:tc>
        <w:tc>
          <w:tcPr>
            <w:tcW w:w="1355" w:type="dxa"/>
          </w:tcPr>
          <w:p w14:paraId="6F6DBE6C">
            <w:pPr>
              <w:ind w:left="420" w:hanging="420"/>
              <w:rPr>
                <w:rFonts w:ascii="宋体" w:hAnsi="Times New Roman" w:eastAsia="宋体" w:cs="Times New Roman"/>
                <w:b/>
                <w:szCs w:val="20"/>
              </w:rPr>
            </w:pPr>
          </w:p>
        </w:tc>
        <w:tc>
          <w:tcPr>
            <w:tcW w:w="826" w:type="dxa"/>
          </w:tcPr>
          <w:p w14:paraId="1B470745">
            <w:pPr>
              <w:ind w:left="420" w:hanging="420"/>
              <w:rPr>
                <w:rFonts w:ascii="宋体" w:hAnsi="Times New Roman" w:eastAsia="宋体" w:cs="Times New Roman"/>
                <w:b/>
                <w:szCs w:val="20"/>
              </w:rPr>
            </w:pPr>
          </w:p>
        </w:tc>
        <w:tc>
          <w:tcPr>
            <w:tcW w:w="1320" w:type="dxa"/>
          </w:tcPr>
          <w:p w14:paraId="7C60946E">
            <w:pPr>
              <w:ind w:left="420" w:hanging="420"/>
              <w:rPr>
                <w:rFonts w:ascii="宋体" w:hAnsi="Times New Roman" w:eastAsia="宋体" w:cs="Times New Roman"/>
                <w:b/>
                <w:szCs w:val="20"/>
              </w:rPr>
            </w:pPr>
          </w:p>
        </w:tc>
        <w:tc>
          <w:tcPr>
            <w:tcW w:w="1023" w:type="dxa"/>
          </w:tcPr>
          <w:p w14:paraId="4148611B">
            <w:pPr>
              <w:ind w:left="420" w:hanging="420"/>
              <w:rPr>
                <w:rFonts w:ascii="宋体" w:hAnsi="Times New Roman" w:eastAsia="宋体" w:cs="Times New Roman"/>
                <w:b/>
                <w:szCs w:val="20"/>
              </w:rPr>
            </w:pPr>
          </w:p>
        </w:tc>
        <w:tc>
          <w:tcPr>
            <w:tcW w:w="1590" w:type="dxa"/>
          </w:tcPr>
          <w:p w14:paraId="516F175A">
            <w:pPr>
              <w:ind w:left="420" w:hanging="420"/>
              <w:rPr>
                <w:rFonts w:ascii="宋体" w:hAnsi="Times New Roman" w:eastAsia="宋体" w:cs="Times New Roman"/>
                <w:b/>
                <w:szCs w:val="20"/>
              </w:rPr>
            </w:pPr>
          </w:p>
        </w:tc>
      </w:tr>
      <w:tr w14:paraId="69F57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F536A3D">
            <w:pPr>
              <w:ind w:left="420" w:hanging="420"/>
              <w:rPr>
                <w:rFonts w:ascii="宋体" w:hAnsi="Times New Roman" w:eastAsia="宋体" w:cs="Times New Roman"/>
                <w:b/>
                <w:szCs w:val="20"/>
              </w:rPr>
            </w:pPr>
          </w:p>
        </w:tc>
        <w:tc>
          <w:tcPr>
            <w:tcW w:w="2082" w:type="dxa"/>
          </w:tcPr>
          <w:p w14:paraId="3E3A66AB">
            <w:pPr>
              <w:ind w:left="420" w:hanging="420"/>
              <w:rPr>
                <w:rFonts w:ascii="宋体" w:hAnsi="Times New Roman" w:eastAsia="宋体" w:cs="Times New Roman"/>
                <w:b/>
                <w:szCs w:val="20"/>
              </w:rPr>
            </w:pPr>
          </w:p>
        </w:tc>
        <w:tc>
          <w:tcPr>
            <w:tcW w:w="1355" w:type="dxa"/>
          </w:tcPr>
          <w:p w14:paraId="169DC9EC">
            <w:pPr>
              <w:ind w:left="420" w:hanging="420"/>
              <w:rPr>
                <w:rFonts w:ascii="宋体" w:hAnsi="Times New Roman" w:eastAsia="宋体" w:cs="Times New Roman"/>
                <w:b/>
                <w:szCs w:val="20"/>
              </w:rPr>
            </w:pPr>
          </w:p>
        </w:tc>
        <w:tc>
          <w:tcPr>
            <w:tcW w:w="826" w:type="dxa"/>
          </w:tcPr>
          <w:p w14:paraId="194409A4">
            <w:pPr>
              <w:ind w:left="420" w:hanging="420"/>
              <w:rPr>
                <w:rFonts w:ascii="宋体" w:hAnsi="Times New Roman" w:eastAsia="宋体" w:cs="Times New Roman"/>
                <w:b/>
                <w:szCs w:val="20"/>
              </w:rPr>
            </w:pPr>
          </w:p>
        </w:tc>
        <w:tc>
          <w:tcPr>
            <w:tcW w:w="1320" w:type="dxa"/>
          </w:tcPr>
          <w:p w14:paraId="78911FF4">
            <w:pPr>
              <w:ind w:left="420" w:hanging="420"/>
              <w:rPr>
                <w:rFonts w:ascii="宋体" w:hAnsi="Times New Roman" w:eastAsia="宋体" w:cs="Times New Roman"/>
                <w:b/>
                <w:szCs w:val="20"/>
              </w:rPr>
            </w:pPr>
          </w:p>
        </w:tc>
        <w:tc>
          <w:tcPr>
            <w:tcW w:w="1023" w:type="dxa"/>
          </w:tcPr>
          <w:p w14:paraId="1D4BD214">
            <w:pPr>
              <w:ind w:left="420" w:hanging="420"/>
              <w:rPr>
                <w:rFonts w:ascii="宋体" w:hAnsi="Times New Roman" w:eastAsia="宋体" w:cs="Times New Roman"/>
                <w:b/>
                <w:szCs w:val="20"/>
              </w:rPr>
            </w:pPr>
          </w:p>
        </w:tc>
        <w:tc>
          <w:tcPr>
            <w:tcW w:w="1590" w:type="dxa"/>
          </w:tcPr>
          <w:p w14:paraId="303DAA62">
            <w:pPr>
              <w:ind w:left="420" w:hanging="420"/>
              <w:rPr>
                <w:rFonts w:ascii="宋体" w:hAnsi="Times New Roman" w:eastAsia="宋体" w:cs="Times New Roman"/>
                <w:b/>
                <w:szCs w:val="20"/>
              </w:rPr>
            </w:pPr>
          </w:p>
        </w:tc>
      </w:tr>
      <w:tr w14:paraId="1892E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6FE2328">
            <w:pPr>
              <w:ind w:left="420" w:hanging="420"/>
              <w:rPr>
                <w:rFonts w:ascii="宋体" w:hAnsi="Times New Roman" w:eastAsia="宋体" w:cs="Times New Roman"/>
                <w:b/>
                <w:szCs w:val="20"/>
              </w:rPr>
            </w:pPr>
          </w:p>
        </w:tc>
        <w:tc>
          <w:tcPr>
            <w:tcW w:w="2082" w:type="dxa"/>
          </w:tcPr>
          <w:p w14:paraId="4EAB8895">
            <w:pPr>
              <w:ind w:left="420" w:hanging="420"/>
              <w:rPr>
                <w:rFonts w:ascii="宋体" w:hAnsi="Times New Roman" w:eastAsia="宋体" w:cs="Times New Roman"/>
                <w:b/>
                <w:szCs w:val="20"/>
              </w:rPr>
            </w:pPr>
          </w:p>
        </w:tc>
        <w:tc>
          <w:tcPr>
            <w:tcW w:w="1355" w:type="dxa"/>
          </w:tcPr>
          <w:p w14:paraId="173FA320">
            <w:pPr>
              <w:ind w:left="420" w:hanging="420"/>
              <w:rPr>
                <w:rFonts w:ascii="宋体" w:hAnsi="Times New Roman" w:eastAsia="宋体" w:cs="Times New Roman"/>
                <w:b/>
                <w:szCs w:val="20"/>
              </w:rPr>
            </w:pPr>
          </w:p>
        </w:tc>
        <w:tc>
          <w:tcPr>
            <w:tcW w:w="826" w:type="dxa"/>
          </w:tcPr>
          <w:p w14:paraId="39C64AAA">
            <w:pPr>
              <w:ind w:left="420" w:hanging="420"/>
              <w:rPr>
                <w:rFonts w:ascii="宋体" w:hAnsi="Times New Roman" w:eastAsia="宋体" w:cs="Times New Roman"/>
                <w:b/>
                <w:szCs w:val="20"/>
              </w:rPr>
            </w:pPr>
          </w:p>
        </w:tc>
        <w:tc>
          <w:tcPr>
            <w:tcW w:w="1320" w:type="dxa"/>
          </w:tcPr>
          <w:p w14:paraId="5481F069">
            <w:pPr>
              <w:ind w:left="420" w:hanging="420"/>
              <w:rPr>
                <w:rFonts w:ascii="宋体" w:hAnsi="Times New Roman" w:eastAsia="宋体" w:cs="Times New Roman"/>
                <w:b/>
                <w:szCs w:val="20"/>
              </w:rPr>
            </w:pPr>
          </w:p>
        </w:tc>
        <w:tc>
          <w:tcPr>
            <w:tcW w:w="1023" w:type="dxa"/>
          </w:tcPr>
          <w:p w14:paraId="34BE2251">
            <w:pPr>
              <w:ind w:left="420" w:hanging="420"/>
              <w:rPr>
                <w:rFonts w:ascii="宋体" w:hAnsi="Times New Roman" w:eastAsia="宋体" w:cs="Times New Roman"/>
                <w:b/>
                <w:szCs w:val="20"/>
              </w:rPr>
            </w:pPr>
          </w:p>
        </w:tc>
        <w:tc>
          <w:tcPr>
            <w:tcW w:w="1590" w:type="dxa"/>
          </w:tcPr>
          <w:p w14:paraId="02B8B8BC">
            <w:pPr>
              <w:ind w:left="420" w:hanging="420"/>
              <w:rPr>
                <w:rFonts w:ascii="宋体" w:hAnsi="Times New Roman" w:eastAsia="宋体" w:cs="Times New Roman"/>
                <w:b/>
                <w:szCs w:val="20"/>
              </w:rPr>
            </w:pPr>
          </w:p>
        </w:tc>
      </w:tr>
      <w:tr w14:paraId="64017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23BB82B2">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21</w:t>
            </w:r>
            <w:r>
              <w:rPr>
                <w:rFonts w:ascii="宋体" w:hAnsi="宋体" w:eastAsia="宋体" w:cs="宋体"/>
                <w:sz w:val="24"/>
                <w:szCs w:val="24"/>
                <w:highlight w:val="yellow"/>
              </w:rPr>
              <w:t>年1月1日至今所有业绩合同总额汇总（必填）</w:t>
            </w:r>
          </w:p>
        </w:tc>
        <w:tc>
          <w:tcPr>
            <w:tcW w:w="826" w:type="dxa"/>
          </w:tcPr>
          <w:p w14:paraId="4EE4D773">
            <w:pPr>
              <w:ind w:left="420" w:hanging="420"/>
              <w:rPr>
                <w:rFonts w:ascii="宋体" w:hAnsi="Times New Roman" w:eastAsia="宋体" w:cs="Times New Roman"/>
                <w:b/>
                <w:szCs w:val="20"/>
              </w:rPr>
            </w:pPr>
          </w:p>
        </w:tc>
        <w:tc>
          <w:tcPr>
            <w:tcW w:w="1320" w:type="dxa"/>
          </w:tcPr>
          <w:p w14:paraId="5B6F6988">
            <w:pPr>
              <w:ind w:left="420" w:hanging="420"/>
              <w:rPr>
                <w:rFonts w:ascii="宋体" w:hAnsi="Times New Roman" w:eastAsia="宋体" w:cs="Times New Roman"/>
                <w:b/>
                <w:szCs w:val="20"/>
              </w:rPr>
            </w:pPr>
          </w:p>
        </w:tc>
        <w:tc>
          <w:tcPr>
            <w:tcW w:w="1023" w:type="dxa"/>
          </w:tcPr>
          <w:p w14:paraId="1F6E7A2D">
            <w:pPr>
              <w:ind w:left="420" w:hanging="420"/>
              <w:rPr>
                <w:rFonts w:ascii="宋体" w:hAnsi="Times New Roman" w:eastAsia="宋体" w:cs="Times New Roman"/>
                <w:b/>
                <w:szCs w:val="20"/>
              </w:rPr>
            </w:pPr>
          </w:p>
        </w:tc>
        <w:tc>
          <w:tcPr>
            <w:tcW w:w="1590" w:type="dxa"/>
          </w:tcPr>
          <w:p w14:paraId="650A3E8C">
            <w:pPr>
              <w:ind w:left="420" w:hanging="420"/>
              <w:rPr>
                <w:rFonts w:ascii="宋体" w:hAnsi="Times New Roman" w:eastAsia="宋体" w:cs="Times New Roman"/>
                <w:b/>
                <w:szCs w:val="20"/>
              </w:rPr>
            </w:pPr>
          </w:p>
        </w:tc>
      </w:tr>
    </w:tbl>
    <w:p w14:paraId="67F69FA3">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7B73C4E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A7D37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CC9F43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94A6956">
      <w:pPr>
        <w:rPr>
          <w:rFonts w:ascii="宋体" w:hAnsi="Calibri" w:eastAsia="宋体" w:cs="宋体"/>
          <w:b/>
          <w:bCs/>
          <w:color w:val="000000"/>
          <w:sz w:val="28"/>
        </w:rPr>
      </w:pPr>
    </w:p>
    <w:p w14:paraId="6D1831AC">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7EBB862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7FC20C99">
      <w:pPr>
        <w:spacing w:line="240" w:lineRule="exact"/>
        <w:rPr>
          <w:rFonts w:ascii="宋体" w:hAnsi="宋体" w:eastAsia="宋体" w:cs="Times New Roman"/>
          <w:szCs w:val="20"/>
        </w:rPr>
      </w:pPr>
      <w:r>
        <w:rPr>
          <w:rFonts w:ascii="宋体" w:hAnsi="宋体" w:eastAsia="宋体" w:cs="Times New Roman"/>
          <w:szCs w:val="20"/>
        </w:rPr>
        <w:t xml:space="preserve">                                               </w:t>
      </w:r>
    </w:p>
    <w:p w14:paraId="3ABD30D7">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u w:val="single"/>
        </w:rPr>
        <w:t>产品试验检测中心气压脉冲试验台、座椅头枕强度试验台、多楔带试验台项目</w:t>
      </w:r>
    </w:p>
    <w:p w14:paraId="643A6A8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6D8838F4">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3CFFD4F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D6BA6F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2D158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CD829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5C691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3F422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937E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AF22A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6D3546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9814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D0A8C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347E1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5B8AC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B7F39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39B4D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C3E95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5F5F3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39597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E05FDC">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19B5406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4500A4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40E405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564C4CC">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14:paraId="248B923A">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58C1CEB2">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15FAC4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产品试验检测中心气压脉冲试验台、座椅头枕强度试验台、多楔带试验台项目</w:t>
      </w:r>
      <w:r>
        <w:rPr>
          <w:rFonts w:ascii="宋体" w:hAnsi="宋体" w:eastAsia="宋体" w:cs="Times New Roman"/>
          <w:color w:val="000000"/>
          <w:sz w:val="24"/>
          <w:szCs w:val="24"/>
        </w:rPr>
        <w:t xml:space="preserve">                                                        </w:t>
      </w:r>
    </w:p>
    <w:tbl>
      <w:tblPr>
        <w:tblStyle w:val="4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3D1D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6C183CF0">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30C10DD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19C142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3266CF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F0D318E">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4DCEE4D5">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445A636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98243FD">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790D9A61">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4C29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00F5D08D">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1B7E9DA7">
            <w:pPr>
              <w:jc w:val="center"/>
              <w:rPr>
                <w:rFonts w:ascii="Times New Roman" w:hAnsi="Times New Roman" w:eastAsia="宋体" w:cs="Times New Roman"/>
                <w:b/>
                <w:szCs w:val="20"/>
              </w:rPr>
            </w:pPr>
            <w:r>
              <w:rPr>
                <w:rFonts w:hint="eastAsia" w:ascii="宋体" w:hAnsi="宋体" w:eastAsia="宋体" w:cs="宋体"/>
                <w:sz w:val="24"/>
                <w:szCs w:val="24"/>
                <w:u w:val="single"/>
              </w:rPr>
              <w:t>产品试验检测中心环保视频监控项目</w:t>
            </w:r>
          </w:p>
        </w:tc>
        <w:tc>
          <w:tcPr>
            <w:tcW w:w="848" w:type="dxa"/>
            <w:vAlign w:val="center"/>
          </w:tcPr>
          <w:p w14:paraId="5995A84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270" w:type="dxa"/>
            <w:vAlign w:val="center"/>
          </w:tcPr>
          <w:p w14:paraId="7FA06CC4">
            <w:pPr>
              <w:ind w:firstLine="90" w:firstLineChars="43"/>
              <w:rPr>
                <w:rFonts w:ascii="等线" w:hAnsi="等线" w:eastAsia="等线" w:cs="Times New Roman"/>
                <w:b/>
                <w:szCs w:val="20"/>
                <w:u w:val="single"/>
              </w:rPr>
            </w:pPr>
            <w:r>
              <w:rPr>
                <w:rFonts w:hint="eastAsia" w:ascii="等线" w:hAnsi="等线" w:eastAsia="等线" w:cs="Times New Roman"/>
                <w:b/>
                <w:szCs w:val="20"/>
              </w:rPr>
              <w:t>不含税价：</w:t>
            </w:r>
            <w:r>
              <w:rPr>
                <w:rFonts w:hint="eastAsia" w:ascii="等线" w:hAnsi="等线" w:eastAsia="等线" w:cs="Times New Roman"/>
                <w:b/>
                <w:szCs w:val="20"/>
                <w:u w:val="single"/>
              </w:rPr>
              <w:t xml:space="preserve">          </w:t>
            </w:r>
          </w:p>
          <w:p w14:paraId="7596CD18">
            <w:pP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27AE0FAB">
            <w:pPr>
              <w:ind w:firstLine="511" w:firstLineChars="243"/>
              <w:rPr>
                <w:rFonts w:ascii="Times New Roman" w:hAnsi="Times New Roman" w:eastAsia="等线" w:cs="Times New Roman"/>
                <w:b/>
                <w:szCs w:val="20"/>
                <w:u w:val="single"/>
              </w:rPr>
            </w:pPr>
            <w:r>
              <w:rPr>
                <w:rFonts w:hint="eastAsia" w:ascii="等线" w:hAnsi="等线" w:eastAsia="等线" w:cs="Times New Roman"/>
                <w:b/>
                <w:szCs w:val="20"/>
              </w:rPr>
              <w:t>税率：</w:t>
            </w:r>
            <w:r>
              <w:rPr>
                <w:rFonts w:hint="eastAsia" w:ascii="等线" w:hAnsi="等线" w:eastAsia="等线" w:cs="Times New Roman"/>
                <w:b/>
                <w:szCs w:val="20"/>
                <w:u w:val="single"/>
              </w:rPr>
              <w:t xml:space="preserve">        </w:t>
            </w:r>
          </w:p>
        </w:tc>
        <w:tc>
          <w:tcPr>
            <w:tcW w:w="1100" w:type="dxa"/>
            <w:vAlign w:val="center"/>
          </w:tcPr>
          <w:p w14:paraId="5547A0B6">
            <w:pPr>
              <w:jc w:val="center"/>
              <w:rPr>
                <w:rFonts w:ascii="Times New Roman" w:hAnsi="Times New Roman" w:eastAsia="宋体" w:cs="Times New Roman"/>
                <w:b/>
                <w:szCs w:val="20"/>
              </w:rPr>
            </w:pPr>
          </w:p>
        </w:tc>
        <w:tc>
          <w:tcPr>
            <w:tcW w:w="1243" w:type="dxa"/>
            <w:vAlign w:val="center"/>
          </w:tcPr>
          <w:p w14:paraId="2BD4C0CD">
            <w:pPr>
              <w:jc w:val="center"/>
              <w:rPr>
                <w:rFonts w:ascii="Times New Roman" w:hAnsi="Times New Roman" w:eastAsia="宋体" w:cs="Times New Roman"/>
                <w:b/>
                <w:szCs w:val="20"/>
              </w:rPr>
            </w:pPr>
          </w:p>
        </w:tc>
        <w:tc>
          <w:tcPr>
            <w:tcW w:w="705" w:type="dxa"/>
            <w:vAlign w:val="center"/>
          </w:tcPr>
          <w:p w14:paraId="44549E31">
            <w:pPr>
              <w:jc w:val="center"/>
              <w:rPr>
                <w:rFonts w:ascii="Times New Roman" w:hAnsi="Times New Roman" w:eastAsia="宋体" w:cs="Times New Roman"/>
                <w:b/>
                <w:szCs w:val="20"/>
              </w:rPr>
            </w:pPr>
          </w:p>
        </w:tc>
        <w:tc>
          <w:tcPr>
            <w:tcW w:w="699" w:type="dxa"/>
            <w:vAlign w:val="center"/>
          </w:tcPr>
          <w:p w14:paraId="0D3AE23D">
            <w:pPr>
              <w:jc w:val="center"/>
              <w:rPr>
                <w:rFonts w:ascii="Times New Roman" w:hAnsi="Times New Roman" w:eastAsia="宋体" w:cs="Times New Roman"/>
                <w:b/>
                <w:szCs w:val="20"/>
              </w:rPr>
            </w:pPr>
          </w:p>
        </w:tc>
      </w:tr>
    </w:tbl>
    <w:p w14:paraId="671365C0">
      <w:pPr>
        <w:rPr>
          <w:rFonts w:ascii="宋体" w:hAnsi="Arial" w:eastAsia="宋体" w:cs="Times New Roman"/>
          <w:sz w:val="24"/>
          <w:szCs w:val="24"/>
        </w:rPr>
      </w:pPr>
    </w:p>
    <w:p w14:paraId="3706340C">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388E0E72">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6AB9DC2">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4F2CFB91">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5E06A6DF">
      <w:pPr>
        <w:pStyle w:val="2"/>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6BB17D4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2D44C33">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2554C28">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A2B0658">
      <w:pPr>
        <w:ind w:firstLine="480"/>
        <w:rPr>
          <w:rFonts w:ascii="宋体" w:hAnsi="Calibri" w:eastAsia="宋体" w:cs="Times New Roman"/>
          <w:color w:val="000000"/>
          <w:sz w:val="24"/>
          <w:szCs w:val="24"/>
        </w:rPr>
      </w:pPr>
    </w:p>
    <w:p w14:paraId="2AB2BC12">
      <w:pPr>
        <w:pStyle w:val="2"/>
        <w:sectPr>
          <w:pgSz w:w="11906" w:h="16838"/>
          <w:pgMar w:top="1588" w:right="1418" w:bottom="1134" w:left="1418" w:header="851" w:footer="992" w:gutter="0"/>
          <w:cols w:space="720" w:num="1"/>
          <w:titlePg/>
          <w:docGrid w:type="lines" w:linePitch="312" w:charSpace="0"/>
        </w:sectPr>
      </w:pPr>
    </w:p>
    <w:p w14:paraId="13197E29">
      <w:pPr>
        <w:rPr>
          <w:rFonts w:ascii="宋体" w:hAnsi="宋体" w:cs="宋体"/>
          <w:color w:val="000000"/>
          <w:sz w:val="24"/>
          <w:szCs w:val="24"/>
        </w:rPr>
      </w:pPr>
    </w:p>
    <w:p w14:paraId="65646B0D">
      <w:pPr>
        <w:pStyle w:val="5"/>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652A138A">
      <w:pPr>
        <w:pStyle w:val="5"/>
        <w:jc w:val="center"/>
        <w:rPr>
          <w:rFonts w:ascii="宋体" w:hAnsi="宋体"/>
          <w:sz w:val="24"/>
          <w:szCs w:val="24"/>
        </w:rPr>
      </w:pPr>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tbl>
      <w:tblPr>
        <w:tblStyle w:val="137"/>
        <w:tblpPr w:leftFromText="180" w:rightFromText="180" w:vertAnchor="text" w:horzAnchor="page" w:tblpX="1468" w:tblpY="39"/>
        <w:tblOverlap w:val="never"/>
        <w:tblW w:w="1450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448"/>
        <w:gridCol w:w="2069"/>
        <w:gridCol w:w="1960"/>
        <w:gridCol w:w="1120"/>
        <w:gridCol w:w="1120"/>
        <w:gridCol w:w="1682"/>
        <w:gridCol w:w="2136"/>
        <w:gridCol w:w="2496"/>
        <w:gridCol w:w="804"/>
      </w:tblGrid>
      <w:tr w14:paraId="36B151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6F9124BB">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17" w:type="dxa"/>
            <w:gridSpan w:val="2"/>
          </w:tcPr>
          <w:p w14:paraId="2E6BE1BD">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960" w:type="dxa"/>
          </w:tcPr>
          <w:p w14:paraId="3BE4EDE8">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0E5CEEB0">
            <w:pPr>
              <w:spacing w:before="98" w:line="185" w:lineRule="auto"/>
              <w:ind w:left="511"/>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14:paraId="732E3360">
            <w:pPr>
              <w:spacing w:before="100" w:line="182"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14:paraId="76ADB6F0">
            <w:pPr>
              <w:spacing w:before="98" w:line="185"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36" w:type="dxa"/>
            <w:tcBorders>
              <w:right w:val="single" w:color="000000" w:sz="4" w:space="0"/>
            </w:tcBorders>
          </w:tcPr>
          <w:p w14:paraId="379A2BFA">
            <w:pPr>
              <w:spacing w:before="98" w:line="185" w:lineRule="auto"/>
              <w:jc w:val="center"/>
              <w:rPr>
                <w:rFonts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96" w:type="dxa"/>
            <w:tcBorders>
              <w:left w:val="single" w:color="000000" w:sz="4" w:space="0"/>
            </w:tcBorders>
          </w:tcPr>
          <w:p w14:paraId="62F714E6">
            <w:pPr>
              <w:spacing w:before="100" w:line="182" w:lineRule="auto"/>
              <w:jc w:val="center"/>
              <w:rPr>
                <w:rFonts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804" w:type="dxa"/>
          </w:tcPr>
          <w:p w14:paraId="27D3BDD7">
            <w:pPr>
              <w:spacing w:before="99" w:line="183" w:lineRule="auto"/>
              <w:ind w:firstLine="422" w:firstLineChars="200"/>
              <w:rPr>
                <w:rFonts w:ascii="宋体" w:hAnsi="宋体" w:eastAsia="宋体" w:cs="宋体"/>
                <w:szCs w:val="21"/>
              </w:rPr>
            </w:pPr>
            <w:r>
              <w:rPr>
                <w:rFonts w:hint="eastAsia" w:ascii="宋体" w:hAnsi="宋体" w:eastAsia="宋体" w:cs="宋体"/>
                <w:b/>
                <w:bCs/>
                <w:szCs w:val="21"/>
              </w:rPr>
              <w:t>9</w:t>
            </w:r>
          </w:p>
        </w:tc>
      </w:tr>
      <w:tr w14:paraId="65231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1C05F62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517" w:type="dxa"/>
            <w:gridSpan w:val="2"/>
            <w:vAlign w:val="center"/>
          </w:tcPr>
          <w:p w14:paraId="2B1447D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960" w:type="dxa"/>
            <w:vAlign w:val="center"/>
          </w:tcPr>
          <w:p w14:paraId="433D7EB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7AB70A6F">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14:paraId="53C6BE2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231F821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136" w:type="dxa"/>
            <w:tcBorders>
              <w:right w:val="single" w:color="000000" w:sz="4" w:space="0"/>
            </w:tcBorders>
            <w:vAlign w:val="center"/>
          </w:tcPr>
          <w:p w14:paraId="2BFBF94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80D2D2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96" w:type="dxa"/>
            <w:tcBorders>
              <w:left w:val="single" w:color="000000" w:sz="4" w:space="0"/>
            </w:tcBorders>
            <w:vAlign w:val="center"/>
          </w:tcPr>
          <w:p w14:paraId="1C528E9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697F3BB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804" w:type="dxa"/>
            <w:vAlign w:val="center"/>
          </w:tcPr>
          <w:p w14:paraId="6C9EA6F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50C28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7262073">
            <w:pPr>
              <w:jc w:val="center"/>
              <w:rPr>
                <w:rFonts w:ascii="宋体" w:hAnsi="宋体" w:eastAsia="宋体" w:cs="宋体"/>
                <w:szCs w:val="21"/>
              </w:rPr>
            </w:pPr>
            <w:r>
              <w:rPr>
                <w:rFonts w:hint="eastAsia" w:ascii="宋体" w:hAnsi="宋体" w:eastAsia="宋体" w:cs="宋体"/>
                <w:szCs w:val="21"/>
              </w:rPr>
              <w:t>1</w:t>
            </w:r>
          </w:p>
        </w:tc>
        <w:tc>
          <w:tcPr>
            <w:tcW w:w="2517" w:type="dxa"/>
            <w:gridSpan w:val="2"/>
            <w:vAlign w:val="center"/>
          </w:tcPr>
          <w:p w14:paraId="39930B9A">
            <w:pPr>
              <w:widowControl/>
              <w:textAlignment w:val="center"/>
              <w:rPr>
                <w:rFonts w:ascii="宋体" w:hAnsi="宋体" w:eastAsia="宋体" w:cs="宋体"/>
                <w:sz w:val="18"/>
                <w:szCs w:val="18"/>
              </w:rPr>
            </w:pPr>
            <w:r>
              <w:rPr>
                <w:rFonts w:hint="eastAsia" w:ascii="宋体" w:hAnsi="宋体" w:eastAsia="宋体" w:cs="宋体"/>
                <w:sz w:val="18"/>
                <w:szCs w:val="18"/>
              </w:rPr>
              <w:t>气压脉冲试验台</w:t>
            </w:r>
          </w:p>
        </w:tc>
        <w:tc>
          <w:tcPr>
            <w:tcW w:w="1960" w:type="dxa"/>
            <w:vAlign w:val="center"/>
          </w:tcPr>
          <w:p w14:paraId="3D27DA2C">
            <w:pPr>
              <w:jc w:val="center"/>
              <w:rPr>
                <w:rFonts w:ascii="宋体" w:hAnsi="宋体" w:eastAsia="宋体" w:cs="宋体"/>
                <w:sz w:val="18"/>
                <w:szCs w:val="18"/>
              </w:rPr>
            </w:pPr>
            <w:r>
              <w:rPr>
                <w:rFonts w:hint="eastAsia" w:ascii="宋体" w:hAnsi="宋体" w:eastAsia="宋体" w:cs="宋体"/>
                <w:sz w:val="18"/>
                <w:szCs w:val="18"/>
              </w:rPr>
              <w:t>拆解、搬运</w:t>
            </w:r>
          </w:p>
          <w:p w14:paraId="45D66296">
            <w:pPr>
              <w:jc w:val="center"/>
              <w:rPr>
                <w:rFonts w:ascii="宋体" w:hAnsi="宋体" w:eastAsia="宋体" w:cs="宋体"/>
                <w:sz w:val="18"/>
                <w:szCs w:val="18"/>
              </w:rPr>
            </w:pPr>
            <w:r>
              <w:rPr>
                <w:rFonts w:hint="eastAsia" w:ascii="宋体" w:hAnsi="宋体" w:eastAsia="宋体" w:cs="宋体"/>
                <w:sz w:val="18"/>
                <w:szCs w:val="18"/>
              </w:rPr>
              <w:t>安装就位</w:t>
            </w:r>
          </w:p>
        </w:tc>
        <w:tc>
          <w:tcPr>
            <w:tcW w:w="1120" w:type="dxa"/>
            <w:vAlign w:val="center"/>
          </w:tcPr>
          <w:p w14:paraId="6BA06A22">
            <w:pPr>
              <w:jc w:val="center"/>
              <w:rPr>
                <w:rFonts w:ascii="宋体" w:hAnsi="宋体" w:eastAsia="宋体" w:cs="宋体"/>
                <w:sz w:val="18"/>
                <w:szCs w:val="18"/>
              </w:rPr>
            </w:pPr>
            <w:r>
              <w:rPr>
                <w:rFonts w:hint="eastAsia" w:ascii="宋体" w:hAnsi="宋体" w:eastAsia="宋体" w:cs="宋体"/>
                <w:sz w:val="18"/>
                <w:szCs w:val="18"/>
              </w:rPr>
              <w:t>套</w:t>
            </w:r>
          </w:p>
        </w:tc>
        <w:tc>
          <w:tcPr>
            <w:tcW w:w="1120" w:type="dxa"/>
            <w:vAlign w:val="center"/>
          </w:tcPr>
          <w:p w14:paraId="0EA6AD5B">
            <w:pPr>
              <w:jc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1C6ED7F2">
            <w:pPr>
              <w:rPr>
                <w:rFonts w:ascii="Arial"/>
                <w:sz w:val="18"/>
                <w:szCs w:val="18"/>
              </w:rPr>
            </w:pPr>
          </w:p>
        </w:tc>
        <w:tc>
          <w:tcPr>
            <w:tcW w:w="2136" w:type="dxa"/>
            <w:tcBorders>
              <w:right w:val="single" w:color="000000" w:sz="4" w:space="0"/>
            </w:tcBorders>
            <w:vAlign w:val="center"/>
          </w:tcPr>
          <w:p w14:paraId="3AE08BB3">
            <w:pPr>
              <w:widowControl/>
              <w:jc w:val="center"/>
              <w:rPr>
                <w:rFonts w:ascii="宋体" w:hAnsi="宋体" w:eastAsia="宋体" w:cs="宋体"/>
                <w:color w:val="000000"/>
                <w:kern w:val="0"/>
                <w:sz w:val="18"/>
                <w:szCs w:val="18"/>
              </w:rPr>
            </w:pPr>
            <w:r>
              <w:rPr>
                <w:rFonts w:hint="eastAsia"/>
                <w:color w:val="000000"/>
                <w:sz w:val="18"/>
                <w:szCs w:val="18"/>
              </w:rPr>
              <w:t>￥60,000.00</w:t>
            </w:r>
          </w:p>
        </w:tc>
        <w:tc>
          <w:tcPr>
            <w:tcW w:w="2496" w:type="dxa"/>
            <w:tcBorders>
              <w:left w:val="single" w:color="000000" w:sz="4" w:space="0"/>
            </w:tcBorders>
            <w:vAlign w:val="center"/>
          </w:tcPr>
          <w:p w14:paraId="097C40C7">
            <w:pPr>
              <w:widowControl/>
              <w:jc w:val="center"/>
              <w:rPr>
                <w:rFonts w:ascii="宋体" w:hAnsi="宋体" w:eastAsia="宋体" w:cs="宋体"/>
                <w:color w:val="000000"/>
                <w:kern w:val="0"/>
                <w:sz w:val="18"/>
                <w:szCs w:val="18"/>
              </w:rPr>
            </w:pPr>
            <w:r>
              <w:rPr>
                <w:rFonts w:hint="eastAsia"/>
                <w:color w:val="000000"/>
                <w:sz w:val="18"/>
                <w:szCs w:val="18"/>
              </w:rPr>
              <w:t>￥60,000.00</w:t>
            </w:r>
          </w:p>
        </w:tc>
        <w:tc>
          <w:tcPr>
            <w:tcW w:w="804" w:type="dxa"/>
          </w:tcPr>
          <w:p w14:paraId="317FA6F7">
            <w:pPr>
              <w:rPr>
                <w:rFonts w:ascii="Arial"/>
              </w:rPr>
            </w:pPr>
          </w:p>
        </w:tc>
      </w:tr>
      <w:tr w14:paraId="13BB23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19BE32D">
            <w:pPr>
              <w:jc w:val="center"/>
              <w:rPr>
                <w:rFonts w:ascii="宋体" w:hAnsi="宋体" w:eastAsia="宋体" w:cs="宋体"/>
                <w:sz w:val="24"/>
                <w:szCs w:val="24"/>
              </w:rPr>
            </w:pPr>
          </w:p>
        </w:tc>
        <w:tc>
          <w:tcPr>
            <w:tcW w:w="2517" w:type="dxa"/>
            <w:gridSpan w:val="2"/>
            <w:vAlign w:val="center"/>
          </w:tcPr>
          <w:p w14:paraId="3E1A630B">
            <w:pPr>
              <w:widowControl/>
              <w:textAlignment w:val="center"/>
              <w:rPr>
                <w:rFonts w:ascii="宋体" w:hAnsi="宋体" w:eastAsia="宋体" w:cs="宋体"/>
                <w:sz w:val="18"/>
                <w:szCs w:val="18"/>
              </w:rPr>
            </w:pPr>
          </w:p>
        </w:tc>
        <w:tc>
          <w:tcPr>
            <w:tcW w:w="1960" w:type="dxa"/>
            <w:vAlign w:val="center"/>
          </w:tcPr>
          <w:p w14:paraId="38D7B43A">
            <w:pPr>
              <w:jc w:val="center"/>
              <w:rPr>
                <w:rFonts w:ascii="宋体" w:hAnsi="宋体" w:eastAsia="宋体" w:cs="宋体"/>
                <w:sz w:val="18"/>
                <w:szCs w:val="18"/>
              </w:rPr>
            </w:pPr>
            <w:r>
              <w:rPr>
                <w:rFonts w:hint="eastAsia" w:ascii="宋体" w:hAnsi="宋体" w:eastAsia="宋体" w:cs="宋体"/>
                <w:sz w:val="18"/>
                <w:szCs w:val="18"/>
              </w:rPr>
              <w:t>运行计量</w:t>
            </w:r>
          </w:p>
        </w:tc>
        <w:tc>
          <w:tcPr>
            <w:tcW w:w="1120" w:type="dxa"/>
          </w:tcPr>
          <w:p w14:paraId="079136A1">
            <w:pPr>
              <w:jc w:val="center"/>
              <w:rPr>
                <w:sz w:val="18"/>
                <w:szCs w:val="18"/>
              </w:rPr>
            </w:pPr>
            <w:r>
              <w:rPr>
                <w:rFonts w:hint="eastAsia" w:ascii="宋体" w:hAnsi="宋体" w:eastAsia="宋体" w:cs="宋体"/>
                <w:sz w:val="18"/>
                <w:szCs w:val="18"/>
              </w:rPr>
              <w:t>套</w:t>
            </w:r>
          </w:p>
        </w:tc>
        <w:tc>
          <w:tcPr>
            <w:tcW w:w="1120" w:type="dxa"/>
            <w:vAlign w:val="center"/>
          </w:tcPr>
          <w:p w14:paraId="0CF88894">
            <w:pPr>
              <w:jc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62D03D16">
            <w:pPr>
              <w:rPr>
                <w:rFonts w:ascii="Arial"/>
                <w:sz w:val="18"/>
                <w:szCs w:val="18"/>
              </w:rPr>
            </w:pPr>
          </w:p>
        </w:tc>
        <w:tc>
          <w:tcPr>
            <w:tcW w:w="2136" w:type="dxa"/>
            <w:tcBorders>
              <w:right w:val="single" w:color="000000" w:sz="4" w:space="0"/>
            </w:tcBorders>
            <w:vAlign w:val="center"/>
          </w:tcPr>
          <w:p w14:paraId="421A0A36">
            <w:pPr>
              <w:jc w:val="center"/>
              <w:rPr>
                <w:color w:val="000000"/>
                <w:sz w:val="18"/>
                <w:szCs w:val="18"/>
              </w:rPr>
            </w:pPr>
            <w:r>
              <w:rPr>
                <w:rFonts w:hint="eastAsia"/>
                <w:color w:val="000000"/>
                <w:sz w:val="18"/>
                <w:szCs w:val="18"/>
              </w:rPr>
              <w:t>￥13,000.00</w:t>
            </w:r>
          </w:p>
        </w:tc>
        <w:tc>
          <w:tcPr>
            <w:tcW w:w="2496" w:type="dxa"/>
            <w:tcBorders>
              <w:left w:val="single" w:color="000000" w:sz="4" w:space="0"/>
            </w:tcBorders>
            <w:vAlign w:val="center"/>
          </w:tcPr>
          <w:p w14:paraId="27014299">
            <w:pPr>
              <w:jc w:val="center"/>
              <w:rPr>
                <w:color w:val="000000"/>
                <w:sz w:val="18"/>
                <w:szCs w:val="18"/>
              </w:rPr>
            </w:pPr>
            <w:r>
              <w:rPr>
                <w:rFonts w:hint="eastAsia"/>
                <w:color w:val="000000"/>
                <w:sz w:val="18"/>
                <w:szCs w:val="18"/>
              </w:rPr>
              <w:t>￥13,000.00</w:t>
            </w:r>
          </w:p>
        </w:tc>
        <w:tc>
          <w:tcPr>
            <w:tcW w:w="804" w:type="dxa"/>
          </w:tcPr>
          <w:p w14:paraId="306C3B33">
            <w:pPr>
              <w:rPr>
                <w:rFonts w:ascii="Arial"/>
              </w:rPr>
            </w:pPr>
          </w:p>
        </w:tc>
      </w:tr>
      <w:tr w14:paraId="02544D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17634A8">
            <w:pPr>
              <w:jc w:val="center"/>
              <w:rPr>
                <w:rFonts w:ascii="宋体" w:hAnsi="宋体" w:eastAsia="宋体" w:cs="宋体"/>
                <w:sz w:val="24"/>
                <w:szCs w:val="24"/>
              </w:rPr>
            </w:pPr>
            <w:r>
              <w:rPr>
                <w:rFonts w:ascii="宋体" w:hAnsi="宋体" w:eastAsia="宋体" w:cs="宋体"/>
                <w:szCs w:val="21"/>
              </w:rPr>
              <w:t>2</w:t>
            </w:r>
          </w:p>
        </w:tc>
        <w:tc>
          <w:tcPr>
            <w:tcW w:w="2517" w:type="dxa"/>
            <w:gridSpan w:val="2"/>
            <w:vAlign w:val="center"/>
          </w:tcPr>
          <w:p w14:paraId="55F8837F">
            <w:pPr>
              <w:widowControl/>
              <w:textAlignment w:val="center"/>
              <w:rPr>
                <w:rFonts w:ascii="宋体" w:hAnsi="宋体" w:eastAsia="宋体" w:cs="宋体"/>
                <w:sz w:val="18"/>
                <w:szCs w:val="18"/>
              </w:rPr>
            </w:pPr>
            <w:r>
              <w:rPr>
                <w:rFonts w:hint="eastAsia" w:ascii="宋体" w:hAnsi="宋体" w:eastAsia="宋体" w:cs="宋体"/>
                <w:sz w:val="18"/>
                <w:szCs w:val="18"/>
              </w:rPr>
              <w:t>座椅头枕试验台</w:t>
            </w:r>
          </w:p>
        </w:tc>
        <w:tc>
          <w:tcPr>
            <w:tcW w:w="1960" w:type="dxa"/>
            <w:vAlign w:val="center"/>
          </w:tcPr>
          <w:p w14:paraId="0D087155">
            <w:pPr>
              <w:jc w:val="center"/>
              <w:rPr>
                <w:rFonts w:ascii="宋体" w:hAnsi="宋体" w:eastAsia="宋体" w:cs="宋体"/>
                <w:sz w:val="18"/>
                <w:szCs w:val="18"/>
              </w:rPr>
            </w:pPr>
            <w:r>
              <w:rPr>
                <w:rFonts w:hint="eastAsia" w:ascii="宋体" w:hAnsi="宋体" w:eastAsia="宋体" w:cs="宋体"/>
                <w:sz w:val="18"/>
                <w:szCs w:val="18"/>
              </w:rPr>
              <w:t>拆解、搬运</w:t>
            </w:r>
          </w:p>
          <w:p w14:paraId="73811388">
            <w:pPr>
              <w:jc w:val="center"/>
              <w:rPr>
                <w:rFonts w:ascii="宋体" w:hAnsi="宋体" w:eastAsia="宋体" w:cs="宋体"/>
                <w:sz w:val="18"/>
                <w:szCs w:val="18"/>
              </w:rPr>
            </w:pPr>
            <w:r>
              <w:rPr>
                <w:rFonts w:hint="eastAsia" w:ascii="宋体" w:hAnsi="宋体" w:eastAsia="宋体" w:cs="宋体"/>
                <w:sz w:val="18"/>
                <w:szCs w:val="18"/>
              </w:rPr>
              <w:t>安装就位</w:t>
            </w:r>
          </w:p>
        </w:tc>
        <w:tc>
          <w:tcPr>
            <w:tcW w:w="1120" w:type="dxa"/>
          </w:tcPr>
          <w:p w14:paraId="49F1B4E6">
            <w:pPr>
              <w:jc w:val="center"/>
              <w:rPr>
                <w:sz w:val="18"/>
                <w:szCs w:val="18"/>
              </w:rPr>
            </w:pPr>
            <w:r>
              <w:rPr>
                <w:rFonts w:hint="eastAsia" w:ascii="宋体" w:hAnsi="宋体" w:eastAsia="宋体" w:cs="宋体"/>
                <w:sz w:val="18"/>
                <w:szCs w:val="18"/>
              </w:rPr>
              <w:t>套</w:t>
            </w:r>
          </w:p>
        </w:tc>
        <w:tc>
          <w:tcPr>
            <w:tcW w:w="1120" w:type="dxa"/>
            <w:vAlign w:val="center"/>
          </w:tcPr>
          <w:p w14:paraId="1828CA09">
            <w:pPr>
              <w:jc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785D6C37">
            <w:pPr>
              <w:rPr>
                <w:rFonts w:ascii="Arial"/>
                <w:sz w:val="18"/>
                <w:szCs w:val="18"/>
              </w:rPr>
            </w:pPr>
          </w:p>
        </w:tc>
        <w:tc>
          <w:tcPr>
            <w:tcW w:w="2136" w:type="dxa"/>
            <w:tcBorders>
              <w:right w:val="single" w:color="000000" w:sz="4" w:space="0"/>
            </w:tcBorders>
            <w:vAlign w:val="center"/>
          </w:tcPr>
          <w:p w14:paraId="347C0131">
            <w:pPr>
              <w:jc w:val="center"/>
              <w:rPr>
                <w:color w:val="000000"/>
                <w:sz w:val="18"/>
                <w:szCs w:val="18"/>
              </w:rPr>
            </w:pPr>
            <w:r>
              <w:rPr>
                <w:rFonts w:hint="eastAsia"/>
                <w:color w:val="000000"/>
                <w:sz w:val="18"/>
                <w:szCs w:val="18"/>
              </w:rPr>
              <w:t>￥59,600.00</w:t>
            </w:r>
          </w:p>
        </w:tc>
        <w:tc>
          <w:tcPr>
            <w:tcW w:w="2496" w:type="dxa"/>
            <w:tcBorders>
              <w:left w:val="single" w:color="000000" w:sz="4" w:space="0"/>
            </w:tcBorders>
            <w:vAlign w:val="center"/>
          </w:tcPr>
          <w:p w14:paraId="534D0E2E">
            <w:pPr>
              <w:jc w:val="center"/>
              <w:rPr>
                <w:color w:val="000000"/>
                <w:sz w:val="18"/>
                <w:szCs w:val="18"/>
              </w:rPr>
            </w:pPr>
            <w:r>
              <w:rPr>
                <w:rFonts w:hint="eastAsia"/>
                <w:color w:val="000000"/>
                <w:sz w:val="18"/>
                <w:szCs w:val="18"/>
              </w:rPr>
              <w:t>￥59,600.00</w:t>
            </w:r>
          </w:p>
        </w:tc>
        <w:tc>
          <w:tcPr>
            <w:tcW w:w="804" w:type="dxa"/>
          </w:tcPr>
          <w:p w14:paraId="6D1BA254">
            <w:pPr>
              <w:rPr>
                <w:rFonts w:ascii="Arial"/>
              </w:rPr>
            </w:pPr>
          </w:p>
        </w:tc>
      </w:tr>
      <w:tr w14:paraId="30FBEA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1EF8523">
            <w:pPr>
              <w:jc w:val="center"/>
              <w:rPr>
                <w:rFonts w:ascii="宋体" w:hAnsi="宋体" w:eastAsia="宋体" w:cs="宋体"/>
                <w:sz w:val="24"/>
                <w:szCs w:val="24"/>
              </w:rPr>
            </w:pPr>
          </w:p>
        </w:tc>
        <w:tc>
          <w:tcPr>
            <w:tcW w:w="2517" w:type="dxa"/>
            <w:gridSpan w:val="2"/>
            <w:vAlign w:val="center"/>
          </w:tcPr>
          <w:p w14:paraId="254C7DF4">
            <w:pPr>
              <w:widowControl/>
              <w:textAlignment w:val="center"/>
              <w:rPr>
                <w:rFonts w:ascii="宋体" w:hAnsi="宋体" w:eastAsia="宋体" w:cs="宋体"/>
                <w:sz w:val="18"/>
                <w:szCs w:val="18"/>
              </w:rPr>
            </w:pPr>
          </w:p>
        </w:tc>
        <w:tc>
          <w:tcPr>
            <w:tcW w:w="1960" w:type="dxa"/>
            <w:vAlign w:val="center"/>
          </w:tcPr>
          <w:p w14:paraId="08F4604C">
            <w:pPr>
              <w:jc w:val="center"/>
              <w:rPr>
                <w:rFonts w:ascii="宋体" w:hAnsi="宋体" w:eastAsia="宋体" w:cs="宋体"/>
                <w:sz w:val="18"/>
                <w:szCs w:val="18"/>
              </w:rPr>
            </w:pPr>
            <w:r>
              <w:rPr>
                <w:rFonts w:hint="eastAsia" w:ascii="宋体" w:hAnsi="宋体" w:eastAsia="宋体" w:cs="宋体"/>
                <w:sz w:val="18"/>
                <w:szCs w:val="18"/>
              </w:rPr>
              <w:t>运行计量</w:t>
            </w:r>
          </w:p>
        </w:tc>
        <w:tc>
          <w:tcPr>
            <w:tcW w:w="1120" w:type="dxa"/>
          </w:tcPr>
          <w:p w14:paraId="695C3C38">
            <w:pPr>
              <w:jc w:val="center"/>
              <w:rPr>
                <w:sz w:val="18"/>
                <w:szCs w:val="18"/>
              </w:rPr>
            </w:pPr>
            <w:r>
              <w:rPr>
                <w:rFonts w:hint="eastAsia" w:ascii="宋体" w:hAnsi="宋体" w:eastAsia="宋体" w:cs="宋体"/>
                <w:sz w:val="18"/>
                <w:szCs w:val="18"/>
              </w:rPr>
              <w:t>套</w:t>
            </w:r>
          </w:p>
        </w:tc>
        <w:tc>
          <w:tcPr>
            <w:tcW w:w="1120" w:type="dxa"/>
            <w:vAlign w:val="center"/>
          </w:tcPr>
          <w:p w14:paraId="4AB3A452">
            <w:pPr>
              <w:jc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4C1D025B">
            <w:pPr>
              <w:rPr>
                <w:rFonts w:ascii="Arial"/>
                <w:sz w:val="18"/>
                <w:szCs w:val="18"/>
              </w:rPr>
            </w:pPr>
          </w:p>
        </w:tc>
        <w:tc>
          <w:tcPr>
            <w:tcW w:w="2136" w:type="dxa"/>
            <w:tcBorders>
              <w:right w:val="single" w:color="000000" w:sz="4" w:space="0"/>
            </w:tcBorders>
            <w:vAlign w:val="center"/>
          </w:tcPr>
          <w:p w14:paraId="78472841">
            <w:pPr>
              <w:jc w:val="center"/>
              <w:rPr>
                <w:color w:val="000000"/>
                <w:sz w:val="18"/>
                <w:szCs w:val="18"/>
              </w:rPr>
            </w:pPr>
            <w:r>
              <w:rPr>
                <w:rFonts w:hint="eastAsia"/>
                <w:color w:val="000000"/>
                <w:sz w:val="18"/>
                <w:szCs w:val="18"/>
              </w:rPr>
              <w:t>￥12,000.00</w:t>
            </w:r>
          </w:p>
        </w:tc>
        <w:tc>
          <w:tcPr>
            <w:tcW w:w="2496" w:type="dxa"/>
            <w:tcBorders>
              <w:left w:val="single" w:color="000000" w:sz="4" w:space="0"/>
            </w:tcBorders>
            <w:vAlign w:val="center"/>
          </w:tcPr>
          <w:p w14:paraId="293D92B2">
            <w:pPr>
              <w:jc w:val="center"/>
              <w:rPr>
                <w:color w:val="000000"/>
                <w:sz w:val="18"/>
                <w:szCs w:val="18"/>
              </w:rPr>
            </w:pPr>
            <w:r>
              <w:rPr>
                <w:rFonts w:hint="eastAsia"/>
                <w:color w:val="000000"/>
                <w:sz w:val="18"/>
                <w:szCs w:val="18"/>
              </w:rPr>
              <w:t>￥12,000.00</w:t>
            </w:r>
          </w:p>
        </w:tc>
        <w:tc>
          <w:tcPr>
            <w:tcW w:w="804" w:type="dxa"/>
          </w:tcPr>
          <w:p w14:paraId="3EBC08B7">
            <w:pPr>
              <w:rPr>
                <w:rFonts w:ascii="Arial"/>
              </w:rPr>
            </w:pPr>
          </w:p>
        </w:tc>
      </w:tr>
      <w:tr w14:paraId="287F9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548A9087">
            <w:pPr>
              <w:jc w:val="center"/>
              <w:rPr>
                <w:rFonts w:ascii="宋体" w:hAnsi="宋体" w:eastAsia="宋体" w:cs="宋体"/>
                <w:sz w:val="24"/>
                <w:szCs w:val="24"/>
              </w:rPr>
            </w:pPr>
            <w:r>
              <w:rPr>
                <w:rFonts w:ascii="宋体" w:hAnsi="宋体" w:eastAsia="宋体" w:cs="宋体"/>
                <w:szCs w:val="21"/>
              </w:rPr>
              <w:t>3</w:t>
            </w:r>
          </w:p>
        </w:tc>
        <w:tc>
          <w:tcPr>
            <w:tcW w:w="2517" w:type="dxa"/>
            <w:gridSpan w:val="2"/>
            <w:vAlign w:val="center"/>
          </w:tcPr>
          <w:p w14:paraId="3AD00862">
            <w:pPr>
              <w:widowControl/>
              <w:textAlignment w:val="center"/>
              <w:rPr>
                <w:rFonts w:ascii="宋体" w:hAnsi="宋体" w:eastAsia="宋体" w:cs="宋体"/>
                <w:sz w:val="18"/>
                <w:szCs w:val="18"/>
              </w:rPr>
            </w:pPr>
            <w:r>
              <w:rPr>
                <w:rFonts w:hint="eastAsia" w:ascii="宋体" w:hAnsi="宋体" w:eastAsia="宋体" w:cs="宋体"/>
                <w:sz w:val="18"/>
                <w:szCs w:val="18"/>
              </w:rPr>
              <w:t>多楔带疲劳</w:t>
            </w:r>
          </w:p>
        </w:tc>
        <w:tc>
          <w:tcPr>
            <w:tcW w:w="1960" w:type="dxa"/>
            <w:vAlign w:val="center"/>
          </w:tcPr>
          <w:p w14:paraId="19D93777">
            <w:pPr>
              <w:jc w:val="center"/>
              <w:rPr>
                <w:rFonts w:ascii="宋体" w:hAnsi="宋体" w:eastAsia="宋体" w:cs="宋体"/>
                <w:sz w:val="18"/>
                <w:szCs w:val="18"/>
              </w:rPr>
            </w:pPr>
            <w:r>
              <w:rPr>
                <w:rFonts w:hint="eastAsia" w:ascii="宋体" w:hAnsi="宋体" w:eastAsia="宋体" w:cs="宋体"/>
                <w:sz w:val="18"/>
                <w:szCs w:val="18"/>
              </w:rPr>
              <w:t>拆解、搬运</w:t>
            </w:r>
          </w:p>
          <w:p w14:paraId="0E8BEEDC">
            <w:pPr>
              <w:jc w:val="center"/>
              <w:rPr>
                <w:rFonts w:ascii="宋体" w:hAnsi="宋体" w:eastAsia="宋体" w:cs="宋体"/>
                <w:sz w:val="18"/>
                <w:szCs w:val="18"/>
              </w:rPr>
            </w:pPr>
            <w:r>
              <w:rPr>
                <w:rFonts w:hint="eastAsia" w:ascii="宋体" w:hAnsi="宋体" w:eastAsia="宋体" w:cs="宋体"/>
                <w:sz w:val="18"/>
                <w:szCs w:val="18"/>
              </w:rPr>
              <w:t>安装就位</w:t>
            </w:r>
          </w:p>
        </w:tc>
        <w:tc>
          <w:tcPr>
            <w:tcW w:w="1120" w:type="dxa"/>
          </w:tcPr>
          <w:p w14:paraId="67895D16">
            <w:pPr>
              <w:jc w:val="center"/>
              <w:rPr>
                <w:sz w:val="18"/>
                <w:szCs w:val="18"/>
              </w:rPr>
            </w:pPr>
            <w:r>
              <w:rPr>
                <w:rFonts w:hint="eastAsia" w:ascii="宋体" w:hAnsi="宋体" w:eastAsia="宋体" w:cs="宋体"/>
                <w:sz w:val="18"/>
                <w:szCs w:val="18"/>
              </w:rPr>
              <w:t>套</w:t>
            </w:r>
          </w:p>
        </w:tc>
        <w:tc>
          <w:tcPr>
            <w:tcW w:w="1120" w:type="dxa"/>
            <w:vAlign w:val="center"/>
          </w:tcPr>
          <w:p w14:paraId="43785FE1">
            <w:pPr>
              <w:jc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4DA2E39D">
            <w:pPr>
              <w:rPr>
                <w:rFonts w:ascii="Arial"/>
                <w:sz w:val="18"/>
                <w:szCs w:val="18"/>
              </w:rPr>
            </w:pPr>
          </w:p>
        </w:tc>
        <w:tc>
          <w:tcPr>
            <w:tcW w:w="2136" w:type="dxa"/>
            <w:tcBorders>
              <w:right w:val="single" w:color="000000" w:sz="4" w:space="0"/>
            </w:tcBorders>
            <w:vAlign w:val="center"/>
          </w:tcPr>
          <w:p w14:paraId="7E966C84">
            <w:pPr>
              <w:jc w:val="center"/>
              <w:rPr>
                <w:color w:val="000000"/>
                <w:sz w:val="18"/>
                <w:szCs w:val="18"/>
              </w:rPr>
            </w:pPr>
            <w:r>
              <w:rPr>
                <w:rFonts w:hint="eastAsia"/>
                <w:color w:val="000000"/>
                <w:sz w:val="18"/>
                <w:szCs w:val="18"/>
              </w:rPr>
              <w:t>￥42,600.00</w:t>
            </w:r>
          </w:p>
        </w:tc>
        <w:tc>
          <w:tcPr>
            <w:tcW w:w="2496" w:type="dxa"/>
            <w:tcBorders>
              <w:left w:val="single" w:color="000000" w:sz="4" w:space="0"/>
            </w:tcBorders>
            <w:vAlign w:val="center"/>
          </w:tcPr>
          <w:p w14:paraId="03A74FC3">
            <w:pPr>
              <w:jc w:val="center"/>
              <w:rPr>
                <w:color w:val="000000"/>
                <w:sz w:val="18"/>
                <w:szCs w:val="18"/>
              </w:rPr>
            </w:pPr>
            <w:r>
              <w:rPr>
                <w:rFonts w:hint="eastAsia"/>
                <w:color w:val="000000"/>
                <w:sz w:val="18"/>
                <w:szCs w:val="18"/>
              </w:rPr>
              <w:t>￥42,600.00</w:t>
            </w:r>
          </w:p>
        </w:tc>
        <w:tc>
          <w:tcPr>
            <w:tcW w:w="804" w:type="dxa"/>
          </w:tcPr>
          <w:p w14:paraId="53BF55A9">
            <w:pPr>
              <w:rPr>
                <w:rFonts w:ascii="Arial"/>
              </w:rPr>
            </w:pPr>
          </w:p>
        </w:tc>
      </w:tr>
      <w:tr w14:paraId="616F6A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0481BF22">
            <w:pPr>
              <w:jc w:val="center"/>
              <w:rPr>
                <w:rFonts w:ascii="宋体" w:hAnsi="宋体" w:eastAsia="宋体" w:cs="宋体"/>
                <w:sz w:val="24"/>
                <w:szCs w:val="24"/>
              </w:rPr>
            </w:pPr>
          </w:p>
        </w:tc>
        <w:tc>
          <w:tcPr>
            <w:tcW w:w="2517" w:type="dxa"/>
            <w:gridSpan w:val="2"/>
            <w:vAlign w:val="center"/>
          </w:tcPr>
          <w:p w14:paraId="562695E2">
            <w:pPr>
              <w:widowControl/>
              <w:textAlignment w:val="center"/>
              <w:rPr>
                <w:rFonts w:ascii="宋体" w:hAnsi="宋体" w:eastAsia="宋体" w:cs="宋体"/>
                <w:sz w:val="18"/>
                <w:szCs w:val="18"/>
              </w:rPr>
            </w:pPr>
          </w:p>
        </w:tc>
        <w:tc>
          <w:tcPr>
            <w:tcW w:w="1960" w:type="dxa"/>
            <w:vAlign w:val="center"/>
          </w:tcPr>
          <w:p w14:paraId="6F97D01D">
            <w:pPr>
              <w:jc w:val="center"/>
              <w:rPr>
                <w:rFonts w:ascii="宋体" w:hAnsi="宋体" w:eastAsia="宋体" w:cs="宋体"/>
                <w:sz w:val="18"/>
                <w:szCs w:val="18"/>
              </w:rPr>
            </w:pPr>
            <w:r>
              <w:rPr>
                <w:rFonts w:hint="eastAsia" w:ascii="宋体" w:hAnsi="宋体" w:eastAsia="宋体" w:cs="宋体"/>
                <w:sz w:val="18"/>
                <w:szCs w:val="18"/>
              </w:rPr>
              <w:t>运行计量</w:t>
            </w:r>
          </w:p>
        </w:tc>
        <w:tc>
          <w:tcPr>
            <w:tcW w:w="1120" w:type="dxa"/>
          </w:tcPr>
          <w:p w14:paraId="14DEDFC5">
            <w:pPr>
              <w:jc w:val="center"/>
              <w:rPr>
                <w:sz w:val="18"/>
                <w:szCs w:val="18"/>
              </w:rPr>
            </w:pPr>
            <w:r>
              <w:rPr>
                <w:rFonts w:hint="eastAsia" w:ascii="宋体" w:hAnsi="宋体" w:eastAsia="宋体" w:cs="宋体"/>
                <w:sz w:val="18"/>
                <w:szCs w:val="18"/>
              </w:rPr>
              <w:t>套</w:t>
            </w:r>
          </w:p>
        </w:tc>
        <w:tc>
          <w:tcPr>
            <w:tcW w:w="1120" w:type="dxa"/>
            <w:vAlign w:val="center"/>
          </w:tcPr>
          <w:p w14:paraId="5F90BB39">
            <w:pPr>
              <w:widowControl/>
              <w:jc w:val="center"/>
              <w:textAlignment w:val="center"/>
              <w:rPr>
                <w:rFonts w:ascii="宋体" w:hAnsi="宋体" w:eastAsia="宋体" w:cs="宋体"/>
                <w:sz w:val="18"/>
                <w:szCs w:val="18"/>
              </w:rPr>
            </w:pPr>
            <w:r>
              <w:rPr>
                <w:rFonts w:hint="eastAsia" w:ascii="宋体" w:hAnsi="宋体" w:eastAsia="宋体" w:cs="宋体"/>
                <w:sz w:val="18"/>
                <w:szCs w:val="18"/>
              </w:rPr>
              <w:t>1</w:t>
            </w:r>
          </w:p>
        </w:tc>
        <w:tc>
          <w:tcPr>
            <w:tcW w:w="1682" w:type="dxa"/>
          </w:tcPr>
          <w:p w14:paraId="580FB9B9">
            <w:pPr>
              <w:rPr>
                <w:rFonts w:ascii="Arial"/>
                <w:sz w:val="18"/>
                <w:szCs w:val="18"/>
              </w:rPr>
            </w:pPr>
          </w:p>
        </w:tc>
        <w:tc>
          <w:tcPr>
            <w:tcW w:w="2136" w:type="dxa"/>
            <w:tcBorders>
              <w:right w:val="single" w:color="000000" w:sz="4" w:space="0"/>
            </w:tcBorders>
            <w:vAlign w:val="center"/>
          </w:tcPr>
          <w:p w14:paraId="1570A041">
            <w:pPr>
              <w:jc w:val="center"/>
              <w:rPr>
                <w:color w:val="000000"/>
                <w:sz w:val="18"/>
                <w:szCs w:val="18"/>
              </w:rPr>
            </w:pPr>
            <w:r>
              <w:rPr>
                <w:rFonts w:hint="eastAsia"/>
                <w:color w:val="000000"/>
                <w:sz w:val="18"/>
                <w:szCs w:val="18"/>
              </w:rPr>
              <w:t>￥8,000.00</w:t>
            </w:r>
          </w:p>
        </w:tc>
        <w:tc>
          <w:tcPr>
            <w:tcW w:w="2496" w:type="dxa"/>
            <w:tcBorders>
              <w:left w:val="single" w:color="000000" w:sz="4" w:space="0"/>
            </w:tcBorders>
            <w:vAlign w:val="center"/>
          </w:tcPr>
          <w:p w14:paraId="15270F1E">
            <w:pPr>
              <w:jc w:val="center"/>
              <w:rPr>
                <w:color w:val="000000"/>
                <w:sz w:val="18"/>
                <w:szCs w:val="18"/>
              </w:rPr>
            </w:pPr>
            <w:r>
              <w:rPr>
                <w:rFonts w:hint="eastAsia"/>
                <w:color w:val="000000"/>
                <w:sz w:val="18"/>
                <w:szCs w:val="18"/>
              </w:rPr>
              <w:t>￥8,000.00</w:t>
            </w:r>
          </w:p>
        </w:tc>
        <w:tc>
          <w:tcPr>
            <w:tcW w:w="804" w:type="dxa"/>
          </w:tcPr>
          <w:p w14:paraId="27C9E7FB">
            <w:pPr>
              <w:rPr>
                <w:rFonts w:ascii="Arial"/>
              </w:rPr>
            </w:pPr>
          </w:p>
        </w:tc>
      </w:tr>
      <w:tr w14:paraId="53D998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65AD1C0E">
            <w:pPr>
              <w:spacing w:before="79" w:line="284" w:lineRule="exact"/>
              <w:ind w:left="249"/>
              <w:rPr>
                <w:rFonts w:ascii="宋体" w:hAnsi="宋体" w:eastAsia="宋体" w:cs="宋体"/>
                <w:szCs w:val="21"/>
              </w:rPr>
            </w:pPr>
          </w:p>
        </w:tc>
        <w:tc>
          <w:tcPr>
            <w:tcW w:w="2517" w:type="dxa"/>
            <w:gridSpan w:val="2"/>
          </w:tcPr>
          <w:p w14:paraId="6F9136E9">
            <w:pPr>
              <w:rPr>
                <w:rFonts w:ascii="Arial"/>
              </w:rPr>
            </w:pPr>
          </w:p>
        </w:tc>
        <w:tc>
          <w:tcPr>
            <w:tcW w:w="1960" w:type="dxa"/>
          </w:tcPr>
          <w:p w14:paraId="7F65E7FF">
            <w:pPr>
              <w:rPr>
                <w:rFonts w:ascii="Arial"/>
              </w:rPr>
            </w:pPr>
          </w:p>
        </w:tc>
        <w:tc>
          <w:tcPr>
            <w:tcW w:w="1120" w:type="dxa"/>
          </w:tcPr>
          <w:p w14:paraId="03E3C080">
            <w:pPr>
              <w:rPr>
                <w:rFonts w:ascii="Arial"/>
              </w:rPr>
            </w:pPr>
          </w:p>
        </w:tc>
        <w:tc>
          <w:tcPr>
            <w:tcW w:w="1120" w:type="dxa"/>
          </w:tcPr>
          <w:p w14:paraId="46421790">
            <w:pPr>
              <w:rPr>
                <w:rFonts w:ascii="Arial"/>
              </w:rPr>
            </w:pPr>
          </w:p>
        </w:tc>
        <w:tc>
          <w:tcPr>
            <w:tcW w:w="1682" w:type="dxa"/>
          </w:tcPr>
          <w:p w14:paraId="78ECAF35">
            <w:pPr>
              <w:rPr>
                <w:rFonts w:ascii="Arial"/>
              </w:rPr>
            </w:pPr>
          </w:p>
        </w:tc>
        <w:tc>
          <w:tcPr>
            <w:tcW w:w="2136" w:type="dxa"/>
            <w:tcBorders>
              <w:right w:val="single" w:color="000000" w:sz="4" w:space="0"/>
            </w:tcBorders>
          </w:tcPr>
          <w:p w14:paraId="5017A663">
            <w:pPr>
              <w:rPr>
                <w:rFonts w:ascii="Arial"/>
              </w:rPr>
            </w:pPr>
          </w:p>
        </w:tc>
        <w:tc>
          <w:tcPr>
            <w:tcW w:w="2496" w:type="dxa"/>
            <w:tcBorders>
              <w:left w:val="single" w:color="000000" w:sz="4" w:space="0"/>
            </w:tcBorders>
          </w:tcPr>
          <w:p w14:paraId="4827187A">
            <w:pPr>
              <w:rPr>
                <w:rFonts w:ascii="Arial"/>
              </w:rPr>
            </w:pPr>
          </w:p>
        </w:tc>
        <w:tc>
          <w:tcPr>
            <w:tcW w:w="804" w:type="dxa"/>
          </w:tcPr>
          <w:p w14:paraId="6415709C">
            <w:pPr>
              <w:rPr>
                <w:rFonts w:ascii="Arial"/>
              </w:rPr>
            </w:pPr>
          </w:p>
        </w:tc>
      </w:tr>
      <w:tr w14:paraId="52D0AA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20" w:type="dxa"/>
            <w:gridSpan w:val="2"/>
            <w:tcBorders>
              <w:right w:val="single" w:color="000000" w:sz="4" w:space="0"/>
            </w:tcBorders>
          </w:tcPr>
          <w:p w14:paraId="57A857E9">
            <w:pPr>
              <w:jc w:val="center"/>
              <w:rPr>
                <w:rFonts w:ascii="宋体" w:hAnsi="宋体" w:eastAsia="宋体" w:cs="宋体"/>
                <w:spacing w:val="-6"/>
                <w:szCs w:val="21"/>
              </w:rPr>
            </w:pPr>
          </w:p>
        </w:tc>
        <w:tc>
          <w:tcPr>
            <w:tcW w:w="10087" w:type="dxa"/>
            <w:gridSpan w:val="6"/>
            <w:tcBorders>
              <w:right w:val="single" w:color="000000" w:sz="4" w:space="0"/>
            </w:tcBorders>
          </w:tcPr>
          <w:p w14:paraId="25345E7D">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96" w:type="dxa"/>
            <w:tcBorders>
              <w:left w:val="single" w:color="000000" w:sz="4" w:space="0"/>
            </w:tcBorders>
          </w:tcPr>
          <w:p w14:paraId="6297B430">
            <w:pPr>
              <w:jc w:val="center"/>
              <w:rPr>
                <w:rFonts w:ascii="Arial"/>
              </w:rPr>
            </w:pPr>
            <w:r>
              <w:rPr>
                <w:rFonts w:hint="eastAsia" w:ascii="Arial"/>
              </w:rPr>
              <w:t>￥</w:t>
            </w:r>
            <w:r>
              <w:rPr>
                <w:rFonts w:ascii="Arial"/>
              </w:rPr>
              <w:t>195,200.00</w:t>
            </w:r>
          </w:p>
        </w:tc>
        <w:tc>
          <w:tcPr>
            <w:tcW w:w="804" w:type="dxa"/>
          </w:tcPr>
          <w:p w14:paraId="209B5C60">
            <w:pPr>
              <w:rPr>
                <w:rFonts w:ascii="Arial"/>
              </w:rPr>
            </w:pPr>
          </w:p>
        </w:tc>
      </w:tr>
    </w:tbl>
    <w:p w14:paraId="3CA4310F">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562F00B">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0FFDA7A3">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2987607D">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92866C3">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2FF3EA6">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61C55F68">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9AF1DB7">
      <w:pPr>
        <w:spacing w:line="105" w:lineRule="exact"/>
      </w:pPr>
    </w:p>
    <w:p w14:paraId="4725BE04">
      <w:pPr>
        <w:sectPr>
          <w:footerReference r:id="rId31" w:type="default"/>
          <w:pgSz w:w="16841" w:h="11907" w:orient="landscape"/>
          <w:pgMar w:top="400" w:right="1387" w:bottom="1168" w:left="1473" w:header="0" w:footer="990" w:gutter="0"/>
          <w:cols w:equalWidth="0" w:num="1">
            <w:col w:w="13980"/>
          </w:cols>
        </w:sectPr>
      </w:pPr>
    </w:p>
    <w:p w14:paraId="371ADDC8">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6CC07FB">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13D5EFF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DB81B1B">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03E054A6">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5C880FFA">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6926AFD5">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DAF0E21">
      <w:pPr>
        <w:spacing w:line="172" w:lineRule="exact"/>
      </w:pPr>
    </w:p>
    <w:tbl>
      <w:tblPr>
        <w:tblStyle w:val="13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303C3C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33C6E210">
            <w:pPr>
              <w:spacing w:line="296" w:lineRule="auto"/>
              <w:rPr>
                <w:rFonts w:ascii="Arial"/>
              </w:rPr>
            </w:pPr>
          </w:p>
          <w:p w14:paraId="1873F19D">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40DC30F4">
            <w:pPr>
              <w:spacing w:line="295" w:lineRule="auto"/>
              <w:rPr>
                <w:rFonts w:ascii="Arial"/>
              </w:rPr>
            </w:pPr>
          </w:p>
          <w:p w14:paraId="72CB6F89">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7ACE39C4">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355A1458">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632DEC51">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290C2F49">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2B5B01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52B9417">
            <w:pPr>
              <w:rPr>
                <w:rFonts w:ascii="Arial"/>
              </w:rPr>
            </w:pPr>
          </w:p>
        </w:tc>
        <w:tc>
          <w:tcPr>
            <w:tcW w:w="3530" w:type="dxa"/>
            <w:vMerge w:val="continue"/>
            <w:tcBorders>
              <w:top w:val="nil"/>
            </w:tcBorders>
          </w:tcPr>
          <w:p w14:paraId="2010DBFB">
            <w:pPr>
              <w:rPr>
                <w:rFonts w:ascii="Arial"/>
              </w:rPr>
            </w:pPr>
          </w:p>
        </w:tc>
        <w:tc>
          <w:tcPr>
            <w:tcW w:w="2159" w:type="dxa"/>
          </w:tcPr>
          <w:p w14:paraId="1090B02A">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1A935AF3">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3A561DAA">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700CEDE7">
            <w:pPr>
              <w:spacing w:before="161" w:line="185" w:lineRule="auto"/>
              <w:ind w:left="1031"/>
              <w:rPr>
                <w:rFonts w:ascii="宋体" w:hAnsi="宋体" w:eastAsia="宋体" w:cs="宋体"/>
                <w:szCs w:val="21"/>
              </w:rPr>
            </w:pPr>
            <w:r>
              <w:rPr>
                <w:rFonts w:ascii="宋体" w:hAnsi="宋体" w:eastAsia="宋体" w:cs="宋体"/>
                <w:szCs w:val="21"/>
              </w:rPr>
              <w:t>4</w:t>
            </w:r>
          </w:p>
        </w:tc>
      </w:tr>
      <w:tr w14:paraId="002C2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B55B013">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3672A6CD">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27E3CA6B">
            <w:pPr>
              <w:rPr>
                <w:rFonts w:ascii="Arial"/>
              </w:rPr>
            </w:pPr>
          </w:p>
        </w:tc>
        <w:tc>
          <w:tcPr>
            <w:tcW w:w="2186" w:type="dxa"/>
          </w:tcPr>
          <w:p w14:paraId="6436A3DF">
            <w:pPr>
              <w:rPr>
                <w:rFonts w:ascii="Arial"/>
              </w:rPr>
            </w:pPr>
          </w:p>
        </w:tc>
        <w:tc>
          <w:tcPr>
            <w:tcW w:w="2596" w:type="dxa"/>
          </w:tcPr>
          <w:p w14:paraId="49B819A1">
            <w:pPr>
              <w:rPr>
                <w:rFonts w:ascii="Arial"/>
              </w:rPr>
            </w:pPr>
          </w:p>
        </w:tc>
        <w:tc>
          <w:tcPr>
            <w:tcW w:w="2164" w:type="dxa"/>
          </w:tcPr>
          <w:p w14:paraId="290A65AA">
            <w:pPr>
              <w:rPr>
                <w:rFonts w:ascii="Arial"/>
              </w:rPr>
            </w:pPr>
          </w:p>
        </w:tc>
      </w:tr>
      <w:tr w14:paraId="621E36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FAABDCA">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5858461A">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1F4950D7">
            <w:pPr>
              <w:rPr>
                <w:rFonts w:ascii="Arial"/>
              </w:rPr>
            </w:pPr>
          </w:p>
        </w:tc>
        <w:tc>
          <w:tcPr>
            <w:tcW w:w="2186" w:type="dxa"/>
          </w:tcPr>
          <w:p w14:paraId="4E2F80C3">
            <w:pPr>
              <w:rPr>
                <w:rFonts w:ascii="Arial"/>
              </w:rPr>
            </w:pPr>
          </w:p>
        </w:tc>
        <w:tc>
          <w:tcPr>
            <w:tcW w:w="2596" w:type="dxa"/>
          </w:tcPr>
          <w:p w14:paraId="4670E0B0">
            <w:pPr>
              <w:rPr>
                <w:rFonts w:ascii="Arial"/>
              </w:rPr>
            </w:pPr>
          </w:p>
        </w:tc>
        <w:tc>
          <w:tcPr>
            <w:tcW w:w="2164" w:type="dxa"/>
            <w:vMerge w:val="restart"/>
            <w:tcBorders>
              <w:bottom w:val="nil"/>
            </w:tcBorders>
          </w:tcPr>
          <w:p w14:paraId="6236E2DA">
            <w:pPr>
              <w:spacing w:line="295" w:lineRule="auto"/>
              <w:rPr>
                <w:rFonts w:ascii="Arial"/>
              </w:rPr>
            </w:pPr>
          </w:p>
          <w:p w14:paraId="4A9959FE">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D2253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04076737">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7C0ECD0A">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14BE578A">
            <w:pPr>
              <w:rPr>
                <w:rFonts w:ascii="Arial"/>
              </w:rPr>
            </w:pPr>
          </w:p>
        </w:tc>
        <w:tc>
          <w:tcPr>
            <w:tcW w:w="2186" w:type="dxa"/>
          </w:tcPr>
          <w:p w14:paraId="32BBEEF7">
            <w:pPr>
              <w:rPr>
                <w:rFonts w:ascii="Arial"/>
              </w:rPr>
            </w:pPr>
          </w:p>
        </w:tc>
        <w:tc>
          <w:tcPr>
            <w:tcW w:w="2596" w:type="dxa"/>
          </w:tcPr>
          <w:p w14:paraId="2C9090F9">
            <w:pPr>
              <w:rPr>
                <w:rFonts w:ascii="Arial"/>
              </w:rPr>
            </w:pPr>
          </w:p>
        </w:tc>
        <w:tc>
          <w:tcPr>
            <w:tcW w:w="2164" w:type="dxa"/>
            <w:vMerge w:val="continue"/>
            <w:tcBorders>
              <w:top w:val="nil"/>
            </w:tcBorders>
          </w:tcPr>
          <w:p w14:paraId="29519437">
            <w:pPr>
              <w:rPr>
                <w:rFonts w:ascii="Arial"/>
              </w:rPr>
            </w:pPr>
          </w:p>
        </w:tc>
      </w:tr>
      <w:tr w14:paraId="0ECE9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77F7CFA">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7A84AC8C">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09884554">
            <w:pPr>
              <w:rPr>
                <w:rFonts w:ascii="Arial"/>
              </w:rPr>
            </w:pPr>
          </w:p>
        </w:tc>
        <w:tc>
          <w:tcPr>
            <w:tcW w:w="2186" w:type="dxa"/>
          </w:tcPr>
          <w:p w14:paraId="0E4C2968">
            <w:pPr>
              <w:rPr>
                <w:rFonts w:ascii="Arial"/>
              </w:rPr>
            </w:pPr>
          </w:p>
        </w:tc>
        <w:tc>
          <w:tcPr>
            <w:tcW w:w="2596" w:type="dxa"/>
          </w:tcPr>
          <w:p w14:paraId="249B8EFA">
            <w:pPr>
              <w:rPr>
                <w:rFonts w:ascii="Arial"/>
              </w:rPr>
            </w:pPr>
          </w:p>
        </w:tc>
        <w:tc>
          <w:tcPr>
            <w:tcW w:w="2164" w:type="dxa"/>
          </w:tcPr>
          <w:p w14:paraId="4C0B0A64">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573EB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684E25C">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01FB6AE3">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63B90E9C">
            <w:pPr>
              <w:rPr>
                <w:rFonts w:ascii="Arial"/>
              </w:rPr>
            </w:pPr>
          </w:p>
        </w:tc>
        <w:tc>
          <w:tcPr>
            <w:tcW w:w="2186" w:type="dxa"/>
          </w:tcPr>
          <w:p w14:paraId="49BFCB8D">
            <w:pPr>
              <w:rPr>
                <w:rFonts w:ascii="Arial"/>
              </w:rPr>
            </w:pPr>
          </w:p>
        </w:tc>
        <w:tc>
          <w:tcPr>
            <w:tcW w:w="2596" w:type="dxa"/>
          </w:tcPr>
          <w:p w14:paraId="700EA99C">
            <w:pPr>
              <w:rPr>
                <w:rFonts w:ascii="Arial"/>
              </w:rPr>
            </w:pPr>
          </w:p>
        </w:tc>
        <w:tc>
          <w:tcPr>
            <w:tcW w:w="2164" w:type="dxa"/>
          </w:tcPr>
          <w:p w14:paraId="08AB03F6">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BBFC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02572B80">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11F2DD">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7741C55">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256B4EA9">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1BA981B4">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36DA606">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5F0719C">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660F521">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0E3F4D2B">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81AF3DB">
      <w:pPr>
        <w:rPr>
          <w:sz w:val="24"/>
          <w:szCs w:val="24"/>
        </w:rPr>
        <w:sectPr>
          <w:footerReference r:id="rId32" w:type="default"/>
          <w:pgSz w:w="16841" w:h="11907"/>
          <w:pgMar w:top="400" w:right="1699" w:bottom="1184" w:left="1481" w:header="0" w:footer="1022" w:gutter="0"/>
          <w:cols w:space="720" w:num="1"/>
        </w:sectPr>
      </w:pPr>
    </w:p>
    <w:p w14:paraId="784C794F">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17372002">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5C597A3B">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9DD2437"/>
    <w:p w14:paraId="6CBB5924">
      <w:pPr>
        <w:spacing w:line="20" w:lineRule="exact"/>
      </w:pPr>
    </w:p>
    <w:tbl>
      <w:tblPr>
        <w:tblStyle w:val="13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B5657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5E06754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43B952A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C6E00A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D66A88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27057FF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06E5ABB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F21A18F">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6DE8E3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BB9C236">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tcPr>
          <w:p w14:paraId="0A158FE7">
            <w:pPr>
              <w:spacing w:before="266" w:line="221" w:lineRule="auto"/>
              <w:jc w:val="center"/>
              <w:rPr>
                <w:rFonts w:ascii="宋体" w:hAnsi="宋体" w:eastAsia="宋体" w:cs="宋体"/>
                <w:szCs w:val="21"/>
              </w:rPr>
            </w:pPr>
            <w:r>
              <w:rPr>
                <w:rFonts w:hint="eastAsia" w:ascii="宋体" w:hAnsi="宋体" w:eastAsia="宋体" w:cs="宋体"/>
                <w:spacing w:val="-1"/>
                <w:szCs w:val="21"/>
                <w:highlight w:val="yellow"/>
              </w:rPr>
              <w:t>现场安装调试费</w:t>
            </w:r>
          </w:p>
        </w:tc>
        <w:tc>
          <w:tcPr>
            <w:tcW w:w="1126" w:type="dxa"/>
          </w:tcPr>
          <w:p w14:paraId="10B7CF43">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30D8BC6">
            <w:pPr>
              <w:spacing w:before="266" w:line="221" w:lineRule="auto"/>
              <w:jc w:val="center"/>
              <w:rPr>
                <w:rFonts w:ascii="宋体" w:hAnsi="宋体" w:eastAsia="宋体" w:cs="宋体"/>
                <w:spacing w:val="-2"/>
                <w:szCs w:val="21"/>
              </w:rPr>
            </w:pPr>
          </w:p>
        </w:tc>
        <w:tc>
          <w:tcPr>
            <w:tcW w:w="1138" w:type="dxa"/>
          </w:tcPr>
          <w:p w14:paraId="221D95B5">
            <w:pPr>
              <w:spacing w:before="266" w:line="221" w:lineRule="auto"/>
              <w:jc w:val="center"/>
              <w:rPr>
                <w:rFonts w:ascii="宋体" w:hAnsi="宋体" w:eastAsia="宋体" w:cs="宋体"/>
                <w:spacing w:val="-2"/>
                <w:szCs w:val="21"/>
              </w:rPr>
            </w:pPr>
          </w:p>
        </w:tc>
        <w:tc>
          <w:tcPr>
            <w:tcW w:w="2449" w:type="dxa"/>
          </w:tcPr>
          <w:p w14:paraId="1BE4451C">
            <w:pPr>
              <w:rPr>
                <w:rFonts w:ascii="Arial"/>
              </w:rPr>
            </w:pPr>
          </w:p>
        </w:tc>
        <w:tc>
          <w:tcPr>
            <w:tcW w:w="3328" w:type="dxa"/>
          </w:tcPr>
          <w:p w14:paraId="036546DC">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377F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936735C">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tcPr>
          <w:p w14:paraId="4A6EB851">
            <w:pPr>
              <w:spacing w:before="266" w:line="221" w:lineRule="auto"/>
              <w:jc w:val="center"/>
              <w:rPr>
                <w:rFonts w:ascii="宋体" w:hAnsi="宋体" w:eastAsia="宋体" w:cs="宋体"/>
                <w:szCs w:val="21"/>
              </w:rPr>
            </w:pPr>
            <w:r>
              <w:rPr>
                <w:rFonts w:hint="eastAsia" w:ascii="宋体" w:hAnsi="宋体" w:eastAsia="宋体" w:cs="宋体"/>
                <w:szCs w:val="21"/>
                <w:highlight w:val="yellow"/>
              </w:rPr>
              <w:t>技术培训费</w:t>
            </w:r>
          </w:p>
        </w:tc>
        <w:tc>
          <w:tcPr>
            <w:tcW w:w="1126" w:type="dxa"/>
          </w:tcPr>
          <w:p w14:paraId="1E89DFCA">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E96970F">
            <w:pPr>
              <w:spacing w:before="266" w:line="221" w:lineRule="auto"/>
              <w:jc w:val="center"/>
              <w:rPr>
                <w:rFonts w:ascii="宋体" w:hAnsi="宋体" w:eastAsia="宋体" w:cs="宋体"/>
                <w:spacing w:val="-2"/>
                <w:szCs w:val="21"/>
              </w:rPr>
            </w:pPr>
          </w:p>
        </w:tc>
        <w:tc>
          <w:tcPr>
            <w:tcW w:w="1138" w:type="dxa"/>
          </w:tcPr>
          <w:p w14:paraId="18C9187C">
            <w:pPr>
              <w:spacing w:before="266" w:line="221" w:lineRule="auto"/>
              <w:jc w:val="center"/>
              <w:rPr>
                <w:rFonts w:ascii="宋体" w:hAnsi="宋体" w:eastAsia="宋体" w:cs="宋体"/>
                <w:spacing w:val="-2"/>
                <w:szCs w:val="21"/>
              </w:rPr>
            </w:pPr>
          </w:p>
        </w:tc>
        <w:tc>
          <w:tcPr>
            <w:tcW w:w="2449" w:type="dxa"/>
          </w:tcPr>
          <w:p w14:paraId="26693AEB">
            <w:pPr>
              <w:rPr>
                <w:rFonts w:ascii="Arial"/>
              </w:rPr>
            </w:pPr>
          </w:p>
        </w:tc>
        <w:tc>
          <w:tcPr>
            <w:tcW w:w="3328" w:type="dxa"/>
          </w:tcPr>
          <w:p w14:paraId="476127C0">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EDF4A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6948972">
            <w:pPr>
              <w:spacing w:before="306" w:line="182" w:lineRule="auto"/>
              <w:jc w:val="center"/>
              <w:rPr>
                <w:rFonts w:ascii="宋体" w:hAnsi="宋体" w:eastAsia="宋体" w:cs="宋体"/>
                <w:szCs w:val="21"/>
              </w:rPr>
            </w:pPr>
            <w:r>
              <w:rPr>
                <w:rFonts w:hint="eastAsia" w:ascii="宋体" w:hAnsi="宋体" w:eastAsia="宋体" w:cs="宋体"/>
                <w:szCs w:val="21"/>
              </w:rPr>
              <w:t>3</w:t>
            </w:r>
          </w:p>
        </w:tc>
        <w:tc>
          <w:tcPr>
            <w:tcW w:w="3625" w:type="dxa"/>
            <w:vAlign w:val="center"/>
          </w:tcPr>
          <w:p w14:paraId="0C662C97">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4637B6F1">
            <w:pPr>
              <w:spacing w:before="266" w:line="221" w:lineRule="auto"/>
              <w:jc w:val="center"/>
              <w:rPr>
                <w:rFonts w:ascii="宋体" w:hAnsi="宋体" w:eastAsia="宋体" w:cs="宋体"/>
                <w:spacing w:val="-2"/>
                <w:szCs w:val="21"/>
              </w:rPr>
            </w:pPr>
          </w:p>
        </w:tc>
        <w:tc>
          <w:tcPr>
            <w:tcW w:w="1138" w:type="dxa"/>
          </w:tcPr>
          <w:p w14:paraId="3ED2BBA4">
            <w:pPr>
              <w:spacing w:before="266" w:line="221" w:lineRule="auto"/>
              <w:jc w:val="center"/>
              <w:rPr>
                <w:rFonts w:ascii="宋体" w:hAnsi="宋体" w:eastAsia="宋体" w:cs="宋体"/>
                <w:spacing w:val="-2"/>
                <w:szCs w:val="21"/>
              </w:rPr>
            </w:pPr>
          </w:p>
        </w:tc>
        <w:tc>
          <w:tcPr>
            <w:tcW w:w="1138" w:type="dxa"/>
          </w:tcPr>
          <w:p w14:paraId="6CACE4E7">
            <w:pPr>
              <w:spacing w:before="266" w:line="221" w:lineRule="auto"/>
              <w:jc w:val="center"/>
              <w:rPr>
                <w:rFonts w:ascii="宋体" w:hAnsi="宋体" w:eastAsia="宋体" w:cs="宋体"/>
                <w:spacing w:val="-2"/>
                <w:szCs w:val="21"/>
              </w:rPr>
            </w:pPr>
          </w:p>
        </w:tc>
        <w:tc>
          <w:tcPr>
            <w:tcW w:w="2449" w:type="dxa"/>
          </w:tcPr>
          <w:p w14:paraId="19012ECA">
            <w:pPr>
              <w:rPr>
                <w:rFonts w:ascii="Arial"/>
              </w:rPr>
            </w:pPr>
          </w:p>
        </w:tc>
        <w:tc>
          <w:tcPr>
            <w:tcW w:w="3328" w:type="dxa"/>
          </w:tcPr>
          <w:p w14:paraId="3E33ECC7">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1DB25A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2A1A7F0">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42CEA71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86C365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74528269">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73ABF6B2">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1408AB3">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265C40EA">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64496560">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6A5F804E">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66D63044">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98B57E0">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E3C8191">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6807A94"/>
    <w:p w14:paraId="513FB012">
      <w:pPr>
        <w:pStyle w:val="2"/>
      </w:pPr>
    </w:p>
    <w:p w14:paraId="3BA16E4E">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6D012A25">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14:paraId="20735961">
      <w:pPr>
        <w:pStyle w:val="6"/>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5DA421C5">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65293886">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1429E0F">
      <w:pPr>
        <w:spacing w:line="172" w:lineRule="exact"/>
      </w:pPr>
    </w:p>
    <w:tbl>
      <w:tblPr>
        <w:tblStyle w:val="13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555C40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063E61A">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6A58EAD3">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6B76D5F6">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6AB651EF">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67317F93">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73D9A462">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58E0D461">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6B289811">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4119FB49">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78943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3BD920D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41F73B8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5C55A32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5DCF2D4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4711741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47C5EE6F">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A3C2FE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5737781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0BDDB92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3EB0170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616D5220">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164245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21396D2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0CEDB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48A81A7">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4FB8548C">
            <w:pPr>
              <w:rPr>
                <w:rFonts w:ascii="Arial"/>
              </w:rPr>
            </w:pPr>
          </w:p>
        </w:tc>
        <w:tc>
          <w:tcPr>
            <w:tcW w:w="2100" w:type="dxa"/>
          </w:tcPr>
          <w:p w14:paraId="45256643">
            <w:pPr>
              <w:rPr>
                <w:rFonts w:ascii="Arial"/>
              </w:rPr>
            </w:pPr>
          </w:p>
        </w:tc>
        <w:tc>
          <w:tcPr>
            <w:tcW w:w="840" w:type="dxa"/>
          </w:tcPr>
          <w:p w14:paraId="0A1BBCAC">
            <w:pPr>
              <w:rPr>
                <w:rFonts w:ascii="Arial"/>
              </w:rPr>
            </w:pPr>
          </w:p>
        </w:tc>
        <w:tc>
          <w:tcPr>
            <w:tcW w:w="2239" w:type="dxa"/>
          </w:tcPr>
          <w:p w14:paraId="004849A8">
            <w:pPr>
              <w:rPr>
                <w:rFonts w:ascii="Arial"/>
              </w:rPr>
            </w:pPr>
          </w:p>
        </w:tc>
        <w:tc>
          <w:tcPr>
            <w:tcW w:w="1498" w:type="dxa"/>
          </w:tcPr>
          <w:p w14:paraId="5EC7AF2B">
            <w:pPr>
              <w:rPr>
                <w:rFonts w:ascii="Arial"/>
              </w:rPr>
            </w:pPr>
          </w:p>
        </w:tc>
        <w:tc>
          <w:tcPr>
            <w:tcW w:w="1861" w:type="dxa"/>
          </w:tcPr>
          <w:p w14:paraId="4C87EE88">
            <w:pPr>
              <w:rPr>
                <w:rFonts w:ascii="Arial"/>
              </w:rPr>
            </w:pPr>
          </w:p>
        </w:tc>
        <w:tc>
          <w:tcPr>
            <w:tcW w:w="1120" w:type="dxa"/>
          </w:tcPr>
          <w:p w14:paraId="5B82A7A0">
            <w:pPr>
              <w:rPr>
                <w:rFonts w:ascii="Arial"/>
              </w:rPr>
            </w:pPr>
          </w:p>
        </w:tc>
        <w:tc>
          <w:tcPr>
            <w:tcW w:w="1125" w:type="dxa"/>
          </w:tcPr>
          <w:p w14:paraId="756A3D8F">
            <w:pPr>
              <w:rPr>
                <w:rFonts w:ascii="Arial"/>
              </w:rPr>
            </w:pPr>
          </w:p>
        </w:tc>
      </w:tr>
      <w:tr w14:paraId="496A47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673D6B7">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0771DF46">
            <w:pPr>
              <w:rPr>
                <w:rFonts w:ascii="Arial"/>
              </w:rPr>
            </w:pPr>
          </w:p>
        </w:tc>
        <w:tc>
          <w:tcPr>
            <w:tcW w:w="2100" w:type="dxa"/>
          </w:tcPr>
          <w:p w14:paraId="6D6D9319">
            <w:pPr>
              <w:rPr>
                <w:rFonts w:ascii="Arial"/>
              </w:rPr>
            </w:pPr>
          </w:p>
        </w:tc>
        <w:tc>
          <w:tcPr>
            <w:tcW w:w="840" w:type="dxa"/>
          </w:tcPr>
          <w:p w14:paraId="4EED30AE">
            <w:pPr>
              <w:rPr>
                <w:rFonts w:ascii="Arial"/>
              </w:rPr>
            </w:pPr>
          </w:p>
        </w:tc>
        <w:tc>
          <w:tcPr>
            <w:tcW w:w="2239" w:type="dxa"/>
          </w:tcPr>
          <w:p w14:paraId="6F37AD01">
            <w:pPr>
              <w:rPr>
                <w:rFonts w:ascii="Arial"/>
              </w:rPr>
            </w:pPr>
          </w:p>
        </w:tc>
        <w:tc>
          <w:tcPr>
            <w:tcW w:w="1498" w:type="dxa"/>
          </w:tcPr>
          <w:p w14:paraId="015660CA">
            <w:pPr>
              <w:rPr>
                <w:rFonts w:ascii="Arial"/>
              </w:rPr>
            </w:pPr>
          </w:p>
        </w:tc>
        <w:tc>
          <w:tcPr>
            <w:tcW w:w="1861" w:type="dxa"/>
          </w:tcPr>
          <w:p w14:paraId="582C3D5D">
            <w:pPr>
              <w:rPr>
                <w:rFonts w:ascii="Arial"/>
              </w:rPr>
            </w:pPr>
          </w:p>
        </w:tc>
        <w:tc>
          <w:tcPr>
            <w:tcW w:w="1120" w:type="dxa"/>
          </w:tcPr>
          <w:p w14:paraId="23EC6DAD">
            <w:pPr>
              <w:rPr>
                <w:rFonts w:ascii="Arial"/>
              </w:rPr>
            </w:pPr>
          </w:p>
        </w:tc>
        <w:tc>
          <w:tcPr>
            <w:tcW w:w="1125" w:type="dxa"/>
          </w:tcPr>
          <w:p w14:paraId="3986226D">
            <w:pPr>
              <w:rPr>
                <w:rFonts w:ascii="Arial"/>
              </w:rPr>
            </w:pPr>
          </w:p>
        </w:tc>
      </w:tr>
      <w:tr w14:paraId="4800CC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808B337">
            <w:pPr>
              <w:rPr>
                <w:rFonts w:ascii="Arial"/>
              </w:rPr>
            </w:pPr>
          </w:p>
        </w:tc>
        <w:tc>
          <w:tcPr>
            <w:tcW w:w="2543" w:type="dxa"/>
          </w:tcPr>
          <w:p w14:paraId="6E2A2A3A">
            <w:pPr>
              <w:rPr>
                <w:rFonts w:ascii="Arial"/>
              </w:rPr>
            </w:pPr>
          </w:p>
        </w:tc>
        <w:tc>
          <w:tcPr>
            <w:tcW w:w="2100" w:type="dxa"/>
          </w:tcPr>
          <w:p w14:paraId="5F2B6667">
            <w:pPr>
              <w:rPr>
                <w:rFonts w:ascii="Arial"/>
              </w:rPr>
            </w:pPr>
          </w:p>
        </w:tc>
        <w:tc>
          <w:tcPr>
            <w:tcW w:w="840" w:type="dxa"/>
          </w:tcPr>
          <w:p w14:paraId="67314510">
            <w:pPr>
              <w:rPr>
                <w:rFonts w:ascii="Arial"/>
              </w:rPr>
            </w:pPr>
          </w:p>
        </w:tc>
        <w:tc>
          <w:tcPr>
            <w:tcW w:w="2239" w:type="dxa"/>
          </w:tcPr>
          <w:p w14:paraId="35A8A3F0">
            <w:pPr>
              <w:rPr>
                <w:rFonts w:ascii="Arial"/>
              </w:rPr>
            </w:pPr>
          </w:p>
        </w:tc>
        <w:tc>
          <w:tcPr>
            <w:tcW w:w="1498" w:type="dxa"/>
          </w:tcPr>
          <w:p w14:paraId="648F8E46">
            <w:pPr>
              <w:rPr>
                <w:rFonts w:ascii="Arial"/>
              </w:rPr>
            </w:pPr>
          </w:p>
        </w:tc>
        <w:tc>
          <w:tcPr>
            <w:tcW w:w="1861" w:type="dxa"/>
          </w:tcPr>
          <w:p w14:paraId="61A295E6">
            <w:pPr>
              <w:rPr>
                <w:rFonts w:ascii="Arial"/>
              </w:rPr>
            </w:pPr>
          </w:p>
        </w:tc>
        <w:tc>
          <w:tcPr>
            <w:tcW w:w="1120" w:type="dxa"/>
          </w:tcPr>
          <w:p w14:paraId="326DF160">
            <w:pPr>
              <w:rPr>
                <w:rFonts w:ascii="Arial"/>
              </w:rPr>
            </w:pPr>
          </w:p>
        </w:tc>
        <w:tc>
          <w:tcPr>
            <w:tcW w:w="1125" w:type="dxa"/>
          </w:tcPr>
          <w:p w14:paraId="69F52E5C">
            <w:pPr>
              <w:rPr>
                <w:rFonts w:ascii="Arial"/>
              </w:rPr>
            </w:pPr>
          </w:p>
        </w:tc>
      </w:tr>
      <w:tr w14:paraId="04219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830CA5C">
            <w:pPr>
              <w:rPr>
                <w:rFonts w:ascii="Arial"/>
              </w:rPr>
            </w:pPr>
          </w:p>
        </w:tc>
        <w:tc>
          <w:tcPr>
            <w:tcW w:w="2543" w:type="dxa"/>
          </w:tcPr>
          <w:p w14:paraId="2B7EB0DC">
            <w:pPr>
              <w:rPr>
                <w:rFonts w:ascii="Arial"/>
              </w:rPr>
            </w:pPr>
          </w:p>
        </w:tc>
        <w:tc>
          <w:tcPr>
            <w:tcW w:w="2100" w:type="dxa"/>
          </w:tcPr>
          <w:p w14:paraId="29292C05">
            <w:pPr>
              <w:rPr>
                <w:rFonts w:ascii="Arial"/>
              </w:rPr>
            </w:pPr>
          </w:p>
        </w:tc>
        <w:tc>
          <w:tcPr>
            <w:tcW w:w="840" w:type="dxa"/>
          </w:tcPr>
          <w:p w14:paraId="46C6F31F">
            <w:pPr>
              <w:rPr>
                <w:rFonts w:ascii="Arial"/>
              </w:rPr>
            </w:pPr>
          </w:p>
        </w:tc>
        <w:tc>
          <w:tcPr>
            <w:tcW w:w="2239" w:type="dxa"/>
          </w:tcPr>
          <w:p w14:paraId="4C802D86">
            <w:pPr>
              <w:rPr>
                <w:rFonts w:ascii="Arial"/>
              </w:rPr>
            </w:pPr>
          </w:p>
        </w:tc>
        <w:tc>
          <w:tcPr>
            <w:tcW w:w="1498" w:type="dxa"/>
          </w:tcPr>
          <w:p w14:paraId="5BD65395">
            <w:pPr>
              <w:rPr>
                <w:rFonts w:ascii="Arial"/>
              </w:rPr>
            </w:pPr>
          </w:p>
        </w:tc>
        <w:tc>
          <w:tcPr>
            <w:tcW w:w="1861" w:type="dxa"/>
          </w:tcPr>
          <w:p w14:paraId="187D419E">
            <w:pPr>
              <w:rPr>
                <w:rFonts w:ascii="Arial"/>
              </w:rPr>
            </w:pPr>
          </w:p>
        </w:tc>
        <w:tc>
          <w:tcPr>
            <w:tcW w:w="1120" w:type="dxa"/>
          </w:tcPr>
          <w:p w14:paraId="646C58A0">
            <w:pPr>
              <w:rPr>
                <w:rFonts w:ascii="Arial"/>
              </w:rPr>
            </w:pPr>
          </w:p>
        </w:tc>
        <w:tc>
          <w:tcPr>
            <w:tcW w:w="1125" w:type="dxa"/>
          </w:tcPr>
          <w:p w14:paraId="79A41C27">
            <w:pPr>
              <w:rPr>
                <w:rFonts w:ascii="Arial"/>
              </w:rPr>
            </w:pPr>
          </w:p>
        </w:tc>
      </w:tr>
      <w:tr w14:paraId="77B350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654B445">
            <w:pPr>
              <w:rPr>
                <w:rFonts w:ascii="Arial"/>
              </w:rPr>
            </w:pPr>
          </w:p>
        </w:tc>
        <w:tc>
          <w:tcPr>
            <w:tcW w:w="2543" w:type="dxa"/>
          </w:tcPr>
          <w:p w14:paraId="12B71129">
            <w:pPr>
              <w:rPr>
                <w:rFonts w:ascii="Arial"/>
              </w:rPr>
            </w:pPr>
          </w:p>
        </w:tc>
        <w:tc>
          <w:tcPr>
            <w:tcW w:w="2100" w:type="dxa"/>
          </w:tcPr>
          <w:p w14:paraId="5FD5596F">
            <w:pPr>
              <w:rPr>
                <w:rFonts w:ascii="Arial"/>
              </w:rPr>
            </w:pPr>
          </w:p>
        </w:tc>
        <w:tc>
          <w:tcPr>
            <w:tcW w:w="840" w:type="dxa"/>
          </w:tcPr>
          <w:p w14:paraId="1E34EE61">
            <w:pPr>
              <w:rPr>
                <w:rFonts w:ascii="Arial"/>
              </w:rPr>
            </w:pPr>
          </w:p>
        </w:tc>
        <w:tc>
          <w:tcPr>
            <w:tcW w:w="2239" w:type="dxa"/>
          </w:tcPr>
          <w:p w14:paraId="6FDE8AE3">
            <w:pPr>
              <w:rPr>
                <w:rFonts w:ascii="Arial"/>
              </w:rPr>
            </w:pPr>
          </w:p>
        </w:tc>
        <w:tc>
          <w:tcPr>
            <w:tcW w:w="1498" w:type="dxa"/>
          </w:tcPr>
          <w:p w14:paraId="7C6191B7">
            <w:pPr>
              <w:rPr>
                <w:rFonts w:ascii="Arial"/>
              </w:rPr>
            </w:pPr>
          </w:p>
        </w:tc>
        <w:tc>
          <w:tcPr>
            <w:tcW w:w="1861" w:type="dxa"/>
          </w:tcPr>
          <w:p w14:paraId="0B338A74">
            <w:pPr>
              <w:rPr>
                <w:rFonts w:ascii="Arial"/>
              </w:rPr>
            </w:pPr>
          </w:p>
        </w:tc>
        <w:tc>
          <w:tcPr>
            <w:tcW w:w="1120" w:type="dxa"/>
          </w:tcPr>
          <w:p w14:paraId="5E5B654C">
            <w:pPr>
              <w:rPr>
                <w:rFonts w:ascii="Arial"/>
              </w:rPr>
            </w:pPr>
          </w:p>
        </w:tc>
        <w:tc>
          <w:tcPr>
            <w:tcW w:w="1125" w:type="dxa"/>
          </w:tcPr>
          <w:p w14:paraId="5BB69EA6">
            <w:pPr>
              <w:rPr>
                <w:rFonts w:ascii="Arial"/>
              </w:rPr>
            </w:pPr>
          </w:p>
        </w:tc>
      </w:tr>
      <w:tr w14:paraId="3C1FF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4238BCC6">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6709AD39">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7675774">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60CD000E">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0240716D">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24E1C6B">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2DE5D65">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182BE5A">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D4A8A4C">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7C240DD5">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521FBAE0">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9F2F71C">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14:paraId="4F935251">
      <w:pPr>
        <w:pStyle w:val="6"/>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19EACBB">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1A080595">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68C5B7A6">
      <w:pPr>
        <w:spacing w:line="127" w:lineRule="exact"/>
      </w:pPr>
    </w:p>
    <w:tbl>
      <w:tblPr>
        <w:tblStyle w:val="13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1CAFB8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66B8E395">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38E09BB5">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A46B36B">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34972F23">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0C3F9F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BC3290E">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663C21BA">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2A775852">
            <w:pPr>
              <w:rPr>
                <w:rFonts w:ascii="Arial"/>
              </w:rPr>
            </w:pPr>
          </w:p>
        </w:tc>
        <w:tc>
          <w:tcPr>
            <w:tcW w:w="3362" w:type="dxa"/>
          </w:tcPr>
          <w:p w14:paraId="46D64678">
            <w:pPr>
              <w:rPr>
                <w:rFonts w:ascii="Arial"/>
              </w:rPr>
            </w:pPr>
          </w:p>
        </w:tc>
      </w:tr>
      <w:tr w14:paraId="7CA48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772452FB">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479C303A">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4201592D">
            <w:pPr>
              <w:rPr>
                <w:rFonts w:ascii="Arial"/>
              </w:rPr>
            </w:pPr>
          </w:p>
        </w:tc>
        <w:tc>
          <w:tcPr>
            <w:tcW w:w="3362" w:type="dxa"/>
          </w:tcPr>
          <w:p w14:paraId="57DA715E">
            <w:pPr>
              <w:rPr>
                <w:rFonts w:ascii="Arial"/>
              </w:rPr>
            </w:pPr>
          </w:p>
        </w:tc>
      </w:tr>
      <w:tr w14:paraId="253E5C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38B013FD">
            <w:pPr>
              <w:rPr>
                <w:rFonts w:ascii="Arial"/>
              </w:rPr>
            </w:pPr>
          </w:p>
          <w:p w14:paraId="060885D6">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7E82DB2B">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507B09C7">
            <w:pPr>
              <w:rPr>
                <w:rFonts w:ascii="Arial"/>
              </w:rPr>
            </w:pPr>
          </w:p>
        </w:tc>
        <w:tc>
          <w:tcPr>
            <w:tcW w:w="3362" w:type="dxa"/>
          </w:tcPr>
          <w:p w14:paraId="255DDAF7">
            <w:pPr>
              <w:rPr>
                <w:rFonts w:ascii="Arial"/>
              </w:rPr>
            </w:pPr>
          </w:p>
        </w:tc>
      </w:tr>
      <w:tr w14:paraId="52A71B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7CE304FA">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0B1B6AB4">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173D56D">
            <w:pPr>
              <w:rPr>
                <w:rFonts w:ascii="Arial"/>
              </w:rPr>
            </w:pPr>
          </w:p>
        </w:tc>
        <w:tc>
          <w:tcPr>
            <w:tcW w:w="3362" w:type="dxa"/>
          </w:tcPr>
          <w:p w14:paraId="2FCE59BF">
            <w:pPr>
              <w:rPr>
                <w:rFonts w:ascii="Arial"/>
              </w:rPr>
            </w:pPr>
          </w:p>
        </w:tc>
      </w:tr>
      <w:tr w14:paraId="621D60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9CF8E68">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2714ADA">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586BD1C">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1BE20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DFABDD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065121B">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B774F1E">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0EDF62EA">
      <w:pPr>
        <w:spacing w:line="291" w:lineRule="auto"/>
        <w:rPr>
          <w:rFonts w:ascii="Arial"/>
        </w:rPr>
      </w:pPr>
    </w:p>
    <w:p w14:paraId="53D0D84C">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DE80C86">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628021A7">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E685164">
      <w:pPr>
        <w:pStyle w:val="2"/>
      </w:pPr>
    </w:p>
    <w:p w14:paraId="6CD1FC2A">
      <w:pPr>
        <w:pStyle w:val="2"/>
      </w:pPr>
    </w:p>
    <w:p w14:paraId="6A6CEEB8">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5377E20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2755DA5A">
      <w:pPr>
        <w:rPr>
          <w:rFonts w:ascii="Calibri" w:hAnsi="Calibri" w:eastAsia="宋体" w:cs="Times New Roman"/>
          <w:szCs w:val="20"/>
        </w:rPr>
      </w:pPr>
    </w:p>
    <w:tbl>
      <w:tblPr>
        <w:tblStyle w:val="4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25554E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87F1915">
            <w:pPr>
              <w:jc w:val="center"/>
              <w:rPr>
                <w:rFonts w:ascii="Times New Roman" w:hAnsi="Times New Roman" w:eastAsia="宋体" w:cs="Times New Roman"/>
                <w:b/>
                <w:szCs w:val="20"/>
              </w:rPr>
            </w:pPr>
            <w:r>
              <w:rPr>
                <w:rFonts w:hint="eastAsia" w:ascii="宋体" w:hAnsi="宋体" w:eastAsia="宋体" w:cs="宋体"/>
                <w:sz w:val="24"/>
                <w:szCs w:val="24"/>
                <w:u w:val="single"/>
              </w:rPr>
              <w:t>产品试验检测中心环保视频监控项目</w:t>
            </w:r>
          </w:p>
        </w:tc>
        <w:tc>
          <w:tcPr>
            <w:tcW w:w="2875" w:type="dxa"/>
            <w:tcBorders>
              <w:top w:val="single" w:color="auto" w:sz="4" w:space="0"/>
              <w:left w:val="single" w:color="auto" w:sz="4" w:space="0"/>
              <w:bottom w:val="single" w:color="auto" w:sz="4" w:space="0"/>
              <w:right w:val="single" w:color="auto" w:sz="4" w:space="0"/>
            </w:tcBorders>
            <w:vAlign w:val="center"/>
          </w:tcPr>
          <w:p w14:paraId="6264FBBF">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52A5FA15">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B3B9870">
            <w:pPr>
              <w:jc w:val="center"/>
              <w:rPr>
                <w:rFonts w:ascii="Times New Roman" w:hAnsi="Times New Roman" w:eastAsia="宋体" w:cs="Times New Roman"/>
                <w:b/>
                <w:szCs w:val="20"/>
              </w:rPr>
            </w:pPr>
            <w:r>
              <w:rPr>
                <w:rFonts w:hint="eastAsia" w:ascii="宋体" w:hAnsi="宋体" w:eastAsia="宋体" w:cs="宋体"/>
                <w:b/>
                <w:szCs w:val="20"/>
              </w:rPr>
              <w:t>是否偏离</w:t>
            </w:r>
          </w:p>
          <w:p w14:paraId="23D913D6">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1DE1CA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3728342">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11B3D6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CD1AC8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5370D7E">
            <w:pPr>
              <w:jc w:val="center"/>
              <w:rPr>
                <w:rFonts w:ascii="Times New Roman" w:hAnsi="Times New Roman" w:eastAsia="宋体" w:cs="Times New Roman"/>
                <w:b/>
                <w:szCs w:val="20"/>
              </w:rPr>
            </w:pPr>
          </w:p>
        </w:tc>
      </w:tr>
      <w:tr w14:paraId="509E41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EC04422">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3EC5DB70">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F2CF8C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0B0B2B">
            <w:pPr>
              <w:jc w:val="center"/>
              <w:rPr>
                <w:rFonts w:ascii="Times New Roman" w:hAnsi="Times New Roman" w:eastAsia="宋体" w:cs="Times New Roman"/>
                <w:b/>
                <w:szCs w:val="21"/>
              </w:rPr>
            </w:pPr>
          </w:p>
        </w:tc>
      </w:tr>
      <w:tr w14:paraId="3647A6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2D850F4">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244A8F5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CB3296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47D3034">
            <w:pPr>
              <w:jc w:val="center"/>
              <w:rPr>
                <w:rFonts w:ascii="Times New Roman" w:hAnsi="Times New Roman" w:eastAsia="宋体" w:cs="Times New Roman"/>
                <w:b/>
                <w:szCs w:val="20"/>
              </w:rPr>
            </w:pPr>
          </w:p>
        </w:tc>
      </w:tr>
      <w:tr w14:paraId="2D2766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BC16058">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464C86CD">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A23DC4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4930EA1">
            <w:pPr>
              <w:jc w:val="center"/>
              <w:rPr>
                <w:rFonts w:ascii="Times New Roman" w:hAnsi="Times New Roman" w:eastAsia="宋体" w:cs="Times New Roman"/>
                <w:b/>
                <w:szCs w:val="21"/>
              </w:rPr>
            </w:pPr>
          </w:p>
          <w:p w14:paraId="7A0F459D">
            <w:pPr>
              <w:jc w:val="center"/>
              <w:rPr>
                <w:rFonts w:ascii="Times New Roman" w:hAnsi="Times New Roman" w:eastAsia="宋体" w:cs="Times New Roman"/>
                <w:b/>
                <w:szCs w:val="21"/>
              </w:rPr>
            </w:pPr>
          </w:p>
          <w:p w14:paraId="45204A99">
            <w:pPr>
              <w:jc w:val="center"/>
              <w:rPr>
                <w:rFonts w:ascii="Times New Roman" w:hAnsi="Times New Roman" w:eastAsia="宋体" w:cs="Times New Roman"/>
                <w:b/>
                <w:szCs w:val="21"/>
              </w:rPr>
            </w:pPr>
          </w:p>
          <w:p w14:paraId="231B9436">
            <w:pPr>
              <w:jc w:val="center"/>
              <w:rPr>
                <w:rFonts w:ascii="Times New Roman" w:hAnsi="Times New Roman" w:eastAsia="宋体" w:cs="Times New Roman"/>
                <w:b/>
                <w:szCs w:val="21"/>
              </w:rPr>
            </w:pPr>
          </w:p>
          <w:p w14:paraId="7E6252B4">
            <w:pPr>
              <w:jc w:val="center"/>
              <w:rPr>
                <w:rFonts w:ascii="Times New Roman" w:hAnsi="Times New Roman" w:eastAsia="宋体" w:cs="Times New Roman"/>
                <w:b/>
                <w:szCs w:val="21"/>
              </w:rPr>
            </w:pPr>
          </w:p>
          <w:p w14:paraId="322ED338">
            <w:pPr>
              <w:jc w:val="center"/>
              <w:rPr>
                <w:rFonts w:ascii="Times New Roman" w:hAnsi="Times New Roman" w:eastAsia="宋体" w:cs="Times New Roman"/>
                <w:b/>
                <w:szCs w:val="21"/>
              </w:rPr>
            </w:pPr>
          </w:p>
          <w:p w14:paraId="2EC6D314">
            <w:pPr>
              <w:jc w:val="center"/>
              <w:rPr>
                <w:rFonts w:ascii="Times New Roman" w:hAnsi="Times New Roman" w:eastAsia="宋体" w:cs="Times New Roman"/>
                <w:b/>
                <w:szCs w:val="21"/>
              </w:rPr>
            </w:pPr>
          </w:p>
          <w:p w14:paraId="7413483F">
            <w:pPr>
              <w:jc w:val="center"/>
              <w:rPr>
                <w:rFonts w:ascii="Times New Roman" w:hAnsi="Times New Roman" w:eastAsia="宋体" w:cs="Times New Roman"/>
                <w:b/>
                <w:szCs w:val="21"/>
              </w:rPr>
            </w:pPr>
          </w:p>
          <w:p w14:paraId="080D178F">
            <w:pPr>
              <w:jc w:val="center"/>
              <w:rPr>
                <w:rFonts w:ascii="Times New Roman" w:hAnsi="Times New Roman" w:eastAsia="宋体" w:cs="Times New Roman"/>
                <w:b/>
                <w:szCs w:val="21"/>
              </w:rPr>
            </w:pPr>
          </w:p>
          <w:p w14:paraId="158380DC">
            <w:pPr>
              <w:jc w:val="center"/>
              <w:rPr>
                <w:rFonts w:ascii="Times New Roman" w:hAnsi="Times New Roman" w:eastAsia="宋体" w:cs="Times New Roman"/>
                <w:b/>
                <w:szCs w:val="21"/>
              </w:rPr>
            </w:pPr>
          </w:p>
          <w:p w14:paraId="775A7B19">
            <w:pPr>
              <w:jc w:val="center"/>
              <w:rPr>
                <w:rFonts w:ascii="Times New Roman" w:hAnsi="Times New Roman" w:eastAsia="宋体" w:cs="Times New Roman"/>
                <w:b/>
                <w:szCs w:val="21"/>
              </w:rPr>
            </w:pPr>
          </w:p>
          <w:p w14:paraId="1DE048C5">
            <w:pPr>
              <w:jc w:val="center"/>
              <w:rPr>
                <w:rFonts w:ascii="Times New Roman" w:hAnsi="Times New Roman" w:eastAsia="宋体" w:cs="Times New Roman"/>
                <w:b/>
                <w:szCs w:val="21"/>
              </w:rPr>
            </w:pPr>
          </w:p>
          <w:p w14:paraId="3B87D971">
            <w:pPr>
              <w:jc w:val="center"/>
              <w:rPr>
                <w:rFonts w:ascii="Times New Roman" w:hAnsi="Times New Roman" w:eastAsia="宋体" w:cs="Times New Roman"/>
                <w:b/>
                <w:szCs w:val="21"/>
              </w:rPr>
            </w:pPr>
          </w:p>
          <w:p w14:paraId="4022C366">
            <w:pPr>
              <w:jc w:val="center"/>
              <w:rPr>
                <w:rFonts w:ascii="Times New Roman" w:hAnsi="Times New Roman" w:eastAsia="宋体" w:cs="Times New Roman"/>
                <w:b/>
                <w:szCs w:val="21"/>
              </w:rPr>
            </w:pPr>
          </w:p>
          <w:p w14:paraId="02596480">
            <w:pPr>
              <w:jc w:val="center"/>
              <w:rPr>
                <w:rFonts w:ascii="Times New Roman" w:hAnsi="Times New Roman" w:eastAsia="宋体" w:cs="Times New Roman"/>
                <w:b/>
                <w:szCs w:val="21"/>
              </w:rPr>
            </w:pPr>
          </w:p>
          <w:p w14:paraId="49C95C22">
            <w:pPr>
              <w:jc w:val="center"/>
              <w:rPr>
                <w:rFonts w:ascii="Times New Roman" w:hAnsi="Times New Roman" w:eastAsia="宋体" w:cs="Times New Roman"/>
                <w:b/>
                <w:szCs w:val="21"/>
              </w:rPr>
            </w:pPr>
          </w:p>
          <w:p w14:paraId="41DA5396">
            <w:pPr>
              <w:jc w:val="center"/>
              <w:rPr>
                <w:rFonts w:ascii="Times New Roman" w:hAnsi="Times New Roman" w:eastAsia="宋体" w:cs="Times New Roman"/>
                <w:b/>
                <w:szCs w:val="20"/>
              </w:rPr>
            </w:pPr>
          </w:p>
        </w:tc>
      </w:tr>
      <w:tr w14:paraId="7EA1A9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AA6C6A1">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A1CA073">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23C39DAC">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70B6389A">
            <w:pPr>
              <w:jc w:val="center"/>
              <w:rPr>
                <w:rFonts w:ascii="Times New Roman" w:hAnsi="Times New Roman" w:eastAsia="宋体" w:cs="Times New Roman"/>
                <w:b/>
                <w:szCs w:val="20"/>
              </w:rPr>
            </w:pPr>
          </w:p>
        </w:tc>
      </w:tr>
    </w:tbl>
    <w:p w14:paraId="4E908CF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B7542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2540A5D">
      <w:pPr>
        <w:rPr>
          <w:rFonts w:ascii="宋体" w:hAnsi="Calibri" w:eastAsia="宋体" w:cs="Times New Roman"/>
          <w:szCs w:val="20"/>
        </w:rPr>
      </w:pPr>
    </w:p>
    <w:p w14:paraId="37E0D512">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3A108812">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1C4E765E">
      <w:pPr>
        <w:spacing w:line="272" w:lineRule="auto"/>
        <w:rPr>
          <w:rFonts w:ascii="Arial"/>
        </w:rPr>
      </w:pPr>
    </w:p>
    <w:p w14:paraId="019A0FE6">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rPr>
        <w:t>产品试验检测中心气压脉冲试验台、座椅头枕强度试验台、多楔带试验台项目</w:t>
      </w:r>
    </w:p>
    <w:p w14:paraId="01D4BA99">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6AAB723E"/>
    <w:p w14:paraId="5EA7DE0C">
      <w:pPr>
        <w:spacing w:line="109" w:lineRule="exact"/>
      </w:pPr>
    </w:p>
    <w:tbl>
      <w:tblPr>
        <w:tblStyle w:val="13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3ADF662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E071CA7">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58EBB4C6">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1F74B3E8">
      <w:pPr>
        <w:keepNext/>
        <w:keepLines/>
        <w:rPr>
          <w:rFonts w:ascii="Times New Roman" w:hAnsi="Times New Roman" w:eastAsia="宋体" w:cs="Times New Roman"/>
          <w:b/>
          <w:bCs/>
          <w:color w:val="000000"/>
          <w:sz w:val="24"/>
          <w:szCs w:val="24"/>
        </w:rPr>
      </w:pPr>
    </w:p>
    <w:p w14:paraId="2DD95A49">
      <w:pPr>
        <w:spacing w:before="75" w:line="227" w:lineRule="auto"/>
        <w:ind w:left="135"/>
        <w:rPr>
          <w:rFonts w:ascii="宋体" w:hAnsi="宋体" w:eastAsia="宋体" w:cs="宋体"/>
          <w:spacing w:val="-2"/>
          <w:sz w:val="24"/>
          <w:szCs w:val="24"/>
        </w:rPr>
      </w:pPr>
    </w:p>
    <w:p w14:paraId="3FDCFA91">
      <w:pPr>
        <w:spacing w:before="75" w:line="227" w:lineRule="auto"/>
        <w:ind w:left="135"/>
        <w:rPr>
          <w:rFonts w:ascii="宋体" w:hAnsi="宋体" w:eastAsia="宋体" w:cs="宋体"/>
          <w:spacing w:val="-2"/>
          <w:sz w:val="24"/>
          <w:szCs w:val="24"/>
        </w:rPr>
      </w:pPr>
    </w:p>
    <w:p w14:paraId="79E233DF">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330964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40E2D0DB">
      <w:pPr>
        <w:spacing w:line="240" w:lineRule="exact"/>
        <w:jc w:val="center"/>
        <w:rPr>
          <w:rFonts w:ascii="宋体" w:hAnsi="Calibri" w:eastAsia="宋体" w:cs="Times New Roman"/>
          <w:b/>
          <w:bCs/>
          <w:sz w:val="36"/>
          <w:szCs w:val="20"/>
        </w:rPr>
      </w:pPr>
    </w:p>
    <w:p w14:paraId="5726014B">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产品试验检测中心气压脉冲试验台、座椅头枕强度试验台、多楔带试验台项目</w:t>
      </w:r>
    </w:p>
    <w:p w14:paraId="4F51BCB6">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08076521">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39A5D68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F7A85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5CA5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27D5D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3FDC0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C57E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8F6FD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2D4C6C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BF81C0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8C3B7F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994420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6F060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CB976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83CEA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1DC443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650F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352EE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8E3F837">
      <w:pPr>
        <w:spacing w:line="360" w:lineRule="auto"/>
        <w:ind w:firstLine="480" w:firstLineChars="200"/>
        <w:rPr>
          <w:rFonts w:ascii="宋体" w:hAnsi="宋体" w:eastAsia="宋体" w:cs="Times New Roman"/>
          <w:sz w:val="24"/>
          <w:szCs w:val="20"/>
          <w:u w:val="single"/>
        </w:rPr>
      </w:pPr>
    </w:p>
    <w:p w14:paraId="15FD847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8AB2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4D2B32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A54EBC8">
      <w:pPr>
        <w:rPr>
          <w:rFonts w:ascii="宋体" w:hAnsi="Calibri" w:eastAsia="宋体" w:cs="宋体"/>
          <w:b/>
          <w:bCs/>
          <w:color w:val="000000"/>
          <w:sz w:val="28"/>
          <w:szCs w:val="20"/>
        </w:rPr>
      </w:pPr>
    </w:p>
    <w:p w14:paraId="708CF241">
      <w:pPr>
        <w:pStyle w:val="2"/>
        <w:rPr>
          <w:rFonts w:hAnsi="Calibri" w:eastAsia="宋体" w:cs="宋体"/>
          <w:b/>
          <w:bCs/>
          <w:color w:val="000000"/>
          <w:sz w:val="28"/>
          <w:szCs w:val="20"/>
        </w:rPr>
      </w:pPr>
    </w:p>
    <w:p w14:paraId="5EDD039C">
      <w:pPr>
        <w:rPr>
          <w:rFonts w:ascii="宋体" w:hAnsi="Calibri" w:eastAsia="宋体" w:cs="宋体"/>
          <w:b/>
          <w:bCs/>
          <w:color w:val="000000"/>
          <w:sz w:val="28"/>
          <w:szCs w:val="20"/>
        </w:rPr>
      </w:pPr>
    </w:p>
    <w:p w14:paraId="4713C14B">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2F94EC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37C9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32E217CD">
            <w:pPr>
              <w:jc w:val="center"/>
              <w:rPr>
                <w:rFonts w:ascii="Times New Roman" w:hAnsi="Times New Roman" w:eastAsia="宋体" w:cs="Times New Roman"/>
                <w:b/>
                <w:szCs w:val="20"/>
              </w:rPr>
            </w:pPr>
          </w:p>
          <w:p w14:paraId="751D5627">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844AD57">
            <w:pPr>
              <w:rPr>
                <w:rFonts w:ascii="Times New Roman" w:hAnsi="Times New Roman" w:eastAsia="等线" w:cs="Times New Roman"/>
                <w:b/>
                <w:sz w:val="30"/>
                <w:szCs w:val="30"/>
              </w:rPr>
            </w:pPr>
          </w:p>
          <w:p w14:paraId="3F8603F8">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1E253FD7">
            <w:pPr>
              <w:jc w:val="center"/>
              <w:rPr>
                <w:rFonts w:ascii="Times New Roman" w:hAnsi="Times New Roman" w:eastAsia="宋体" w:cs="Times New Roman"/>
                <w:b/>
                <w:szCs w:val="20"/>
              </w:rPr>
            </w:pPr>
          </w:p>
          <w:p w14:paraId="1A452624">
            <w:pPr>
              <w:jc w:val="center"/>
              <w:rPr>
                <w:rFonts w:ascii="Times New Roman" w:hAnsi="Times New Roman" w:eastAsia="宋体" w:cs="Times New Roman"/>
                <w:b/>
                <w:szCs w:val="20"/>
              </w:rPr>
            </w:pPr>
          </w:p>
          <w:p w14:paraId="3FC77466">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u w:val="single"/>
              </w:rPr>
              <w:t>产品试验检测中心气压脉冲试验台、座椅头枕强度试验台、多楔带试验台项目</w:t>
            </w:r>
          </w:p>
          <w:p w14:paraId="04C22ED9">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2CB7D39D">
            <w:pPr>
              <w:jc w:val="center"/>
              <w:rPr>
                <w:rFonts w:ascii="Times New Roman" w:hAnsi="Times New Roman" w:eastAsia="宋体" w:cs="Times New Roman"/>
                <w:b/>
                <w:szCs w:val="20"/>
              </w:rPr>
            </w:pPr>
            <w:r>
              <w:rPr>
                <w:rFonts w:hint="eastAsia" w:ascii="宋体" w:hAnsi="宋体" w:eastAsia="宋体" w:cs="宋体"/>
                <w:b/>
                <w:szCs w:val="20"/>
              </w:rPr>
              <w:t>地址：</w:t>
            </w:r>
          </w:p>
          <w:p w14:paraId="24B1D496">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5274811">
            <w:pPr>
              <w:jc w:val="center"/>
              <w:rPr>
                <w:rFonts w:ascii="Times New Roman" w:hAnsi="Times New Roman" w:eastAsia="宋体" w:cs="Times New Roman"/>
                <w:b/>
                <w:szCs w:val="20"/>
              </w:rPr>
            </w:pPr>
            <w:r>
              <w:rPr>
                <w:rFonts w:hint="eastAsia" w:ascii="宋体" w:hAnsi="宋体" w:eastAsia="宋体" w:cs="宋体"/>
                <w:b/>
                <w:szCs w:val="20"/>
              </w:rPr>
              <w:t>传真：</w:t>
            </w:r>
          </w:p>
          <w:p w14:paraId="012E2AA1">
            <w:pPr>
              <w:jc w:val="center"/>
              <w:rPr>
                <w:rFonts w:ascii="Times New Roman" w:hAnsi="Times New Roman" w:eastAsia="宋体" w:cs="Times New Roman"/>
                <w:b/>
                <w:szCs w:val="20"/>
              </w:rPr>
            </w:pPr>
          </w:p>
          <w:p w14:paraId="121B156B">
            <w:pPr>
              <w:jc w:val="center"/>
              <w:rPr>
                <w:rFonts w:ascii="Times New Roman" w:hAnsi="Times New Roman" w:eastAsia="宋体" w:cs="Times New Roman"/>
                <w:b/>
                <w:szCs w:val="20"/>
              </w:rPr>
            </w:pPr>
          </w:p>
        </w:tc>
      </w:tr>
    </w:tbl>
    <w:p w14:paraId="46D2FCB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91B1729">
      <w:pPr>
        <w:pStyle w:val="2"/>
      </w:pPr>
    </w:p>
    <w:p w14:paraId="7F0D71DC">
      <w:pPr>
        <w:jc w:val="right"/>
        <w:rPr>
          <w:rFonts w:asciiTheme="minorEastAsia" w:hAnsiTheme="minorEastAsia" w:cstheme="minorEastAsia"/>
          <w:sz w:val="20"/>
          <w:szCs w:val="20"/>
        </w:rPr>
      </w:pPr>
    </w:p>
    <w:p w14:paraId="41A74B07">
      <w:pPr>
        <w:jc w:val="right"/>
        <w:rPr>
          <w:rFonts w:asciiTheme="minorEastAsia" w:hAnsiTheme="minorEastAsia" w:cstheme="minorEastAsia"/>
          <w:sz w:val="20"/>
          <w:szCs w:val="20"/>
        </w:rPr>
      </w:pPr>
    </w:p>
    <w:p w14:paraId="7FF3B03E">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14:paraId="5B3BA00D">
      <w:pPr>
        <w:outlineLvl w:val="2"/>
        <w:rPr>
          <w:rFonts w:ascii="宋体" w:hAnsi="宋体" w:eastAsia="宋体" w:cs="宋体"/>
          <w:color w:val="000000"/>
          <w:sz w:val="24"/>
          <w:szCs w:val="24"/>
        </w:rPr>
      </w:pPr>
      <w:r>
        <w:rPr>
          <w:rFonts w:hint="eastAsia" w:ascii="Times New Roman" w:hAnsi="Times New Roman" w:eastAsia="宋体" w:cs="Times New Roman"/>
          <w:b/>
          <w:bCs/>
          <w:color w:val="000000"/>
          <w:sz w:val="24"/>
          <w:szCs w:val="24"/>
        </w:rPr>
        <w:t>附件14技术标评分标准</w:t>
      </w:r>
    </w:p>
    <w:p w14:paraId="5EDA9871">
      <w:pPr>
        <w:keepNext/>
        <w:keepLines/>
        <w:spacing w:before="156" w:beforeLines="50" w:after="156" w:afterLines="50" w:line="360" w:lineRule="auto"/>
        <w:jc w:val="center"/>
        <w:rPr>
          <w:rFonts w:ascii="宋体" w:hAnsi="宋体" w:eastAsia="宋体" w:cs="Times New Roman"/>
          <w:b/>
          <w:bCs/>
          <w:sz w:val="24"/>
          <w:szCs w:val="24"/>
        </w:rPr>
      </w:pPr>
      <w:r>
        <w:rPr>
          <w:rFonts w:hint="eastAsia" w:ascii="宋体" w:hAnsi="宋体" w:eastAsia="宋体" w:cs="Times New Roman"/>
          <w:b/>
          <w:bCs/>
          <w:sz w:val="24"/>
          <w:szCs w:val="24"/>
        </w:rPr>
        <w:t>技术标评审表（100分）</w:t>
      </w:r>
    </w:p>
    <w:tbl>
      <w:tblPr>
        <w:tblStyle w:val="45"/>
        <w:tblW w:w="141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00"/>
        <w:gridCol w:w="603"/>
        <w:gridCol w:w="2757"/>
        <w:gridCol w:w="580"/>
        <w:gridCol w:w="8919"/>
      </w:tblGrid>
      <w:tr w14:paraId="12F83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Align w:val="center"/>
          </w:tcPr>
          <w:p w14:paraId="4E1FD486">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评价类型</w:t>
            </w:r>
          </w:p>
        </w:tc>
        <w:tc>
          <w:tcPr>
            <w:tcW w:w="600" w:type="dxa"/>
            <w:vAlign w:val="center"/>
          </w:tcPr>
          <w:p w14:paraId="0413A40E">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评审内容</w:t>
            </w:r>
          </w:p>
        </w:tc>
        <w:tc>
          <w:tcPr>
            <w:tcW w:w="603" w:type="dxa"/>
            <w:vAlign w:val="center"/>
          </w:tcPr>
          <w:p w14:paraId="6E05F3B9">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序号</w:t>
            </w:r>
          </w:p>
        </w:tc>
        <w:tc>
          <w:tcPr>
            <w:tcW w:w="2757" w:type="dxa"/>
            <w:vAlign w:val="center"/>
          </w:tcPr>
          <w:p w14:paraId="6FD91894">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内</w:t>
            </w:r>
            <w:r>
              <w:rPr>
                <w:rFonts w:ascii="宋体" w:hAnsi="宋体" w:cs="Times New Roman"/>
                <w:b/>
                <w:sz w:val="18"/>
                <w:szCs w:val="18"/>
              </w:rPr>
              <w:t xml:space="preserve">   </w:t>
            </w:r>
            <w:r>
              <w:rPr>
                <w:rFonts w:hint="eastAsia" w:ascii="宋体" w:hAnsi="宋体" w:cs="Times New Roman"/>
                <w:b/>
                <w:sz w:val="18"/>
                <w:szCs w:val="18"/>
              </w:rPr>
              <w:t>容</w:t>
            </w:r>
          </w:p>
        </w:tc>
        <w:tc>
          <w:tcPr>
            <w:tcW w:w="580" w:type="dxa"/>
            <w:vAlign w:val="center"/>
          </w:tcPr>
          <w:p w14:paraId="14F1994D">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标准分</w:t>
            </w:r>
          </w:p>
        </w:tc>
        <w:tc>
          <w:tcPr>
            <w:tcW w:w="8919" w:type="dxa"/>
            <w:vAlign w:val="center"/>
          </w:tcPr>
          <w:p w14:paraId="2B8971DD">
            <w:pPr>
              <w:tabs>
                <w:tab w:val="left" w:pos="13965"/>
              </w:tabs>
              <w:spacing w:line="228" w:lineRule="auto"/>
              <w:jc w:val="center"/>
              <w:rPr>
                <w:rFonts w:ascii="宋体" w:hAnsi="宋体" w:cs="Times New Roman"/>
                <w:b/>
                <w:sz w:val="18"/>
                <w:szCs w:val="18"/>
              </w:rPr>
            </w:pPr>
            <w:r>
              <w:rPr>
                <w:rFonts w:hint="eastAsia" w:ascii="宋体" w:hAnsi="宋体" w:cs="Times New Roman"/>
                <w:b/>
                <w:sz w:val="18"/>
                <w:szCs w:val="18"/>
              </w:rPr>
              <w:t>评分标准</w:t>
            </w:r>
          </w:p>
        </w:tc>
      </w:tr>
      <w:tr w14:paraId="61CCC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restart"/>
            <w:vAlign w:val="center"/>
          </w:tcPr>
          <w:p w14:paraId="6668EB5D">
            <w:pPr>
              <w:tabs>
                <w:tab w:val="left" w:pos="13965"/>
              </w:tabs>
              <w:spacing w:line="228" w:lineRule="auto"/>
              <w:jc w:val="center"/>
              <w:rPr>
                <w:rFonts w:ascii="宋体" w:hAnsi="宋体" w:cs="Times New Roman"/>
                <w:b/>
                <w:bCs/>
                <w:sz w:val="18"/>
                <w:szCs w:val="18"/>
              </w:rPr>
            </w:pPr>
            <w:r>
              <w:rPr>
                <w:rFonts w:hint="eastAsia" w:ascii="宋体" w:hAnsi="宋体" w:cs="Times New Roman"/>
                <w:b/>
                <w:bCs/>
                <w:sz w:val="18"/>
                <w:szCs w:val="18"/>
              </w:rPr>
              <w:t>技术标</w:t>
            </w:r>
          </w:p>
          <w:p w14:paraId="033405C1">
            <w:pPr>
              <w:tabs>
                <w:tab w:val="left" w:pos="13965"/>
              </w:tabs>
              <w:spacing w:line="228" w:lineRule="auto"/>
              <w:rPr>
                <w:rFonts w:ascii="宋体" w:hAnsi="宋体" w:cs="Times New Roman"/>
                <w:sz w:val="18"/>
                <w:szCs w:val="18"/>
              </w:rPr>
            </w:pPr>
            <w:r>
              <w:rPr>
                <w:rFonts w:ascii="宋体" w:hAnsi="宋体" w:cs="Times New Roman"/>
                <w:sz w:val="18"/>
                <w:szCs w:val="18"/>
              </w:rPr>
              <w:t>100</w:t>
            </w:r>
            <w:r>
              <w:rPr>
                <w:rFonts w:hint="eastAsia" w:ascii="宋体" w:hAnsi="宋体" w:cs="Times New Roman"/>
                <w:sz w:val="18"/>
                <w:szCs w:val="18"/>
              </w:rPr>
              <w:t>分</w:t>
            </w:r>
          </w:p>
        </w:tc>
        <w:tc>
          <w:tcPr>
            <w:tcW w:w="600" w:type="dxa"/>
            <w:vAlign w:val="center"/>
          </w:tcPr>
          <w:p w14:paraId="048B57A3">
            <w:pPr>
              <w:tabs>
                <w:tab w:val="left" w:pos="13965"/>
              </w:tabs>
              <w:spacing w:line="228" w:lineRule="auto"/>
              <w:jc w:val="center"/>
              <w:rPr>
                <w:rFonts w:ascii="宋体" w:hAnsi="宋体" w:cs="Times New Roman"/>
                <w:sz w:val="18"/>
                <w:szCs w:val="18"/>
              </w:rPr>
            </w:pPr>
            <w:r>
              <w:rPr>
                <w:rFonts w:hint="eastAsia" w:ascii="宋体" w:hAnsi="宋体" w:cs="Times New Roman"/>
                <w:sz w:val="18"/>
                <w:szCs w:val="18"/>
              </w:rPr>
              <w:t>业绩</w:t>
            </w:r>
          </w:p>
        </w:tc>
        <w:tc>
          <w:tcPr>
            <w:tcW w:w="603" w:type="dxa"/>
            <w:vAlign w:val="center"/>
          </w:tcPr>
          <w:p w14:paraId="557352BA">
            <w:pPr>
              <w:tabs>
                <w:tab w:val="left" w:pos="13965"/>
              </w:tabs>
              <w:spacing w:line="228" w:lineRule="auto"/>
              <w:jc w:val="center"/>
              <w:rPr>
                <w:rFonts w:ascii="宋体" w:hAnsi="宋体" w:cs="Times New Roman"/>
                <w:sz w:val="18"/>
                <w:szCs w:val="18"/>
              </w:rPr>
            </w:pPr>
            <w:r>
              <w:rPr>
                <w:rFonts w:ascii="宋体" w:hAnsi="宋体" w:cs="Times New Roman"/>
                <w:sz w:val="18"/>
                <w:szCs w:val="18"/>
              </w:rPr>
              <w:t>1</w:t>
            </w:r>
          </w:p>
        </w:tc>
        <w:tc>
          <w:tcPr>
            <w:tcW w:w="2757" w:type="dxa"/>
            <w:vAlign w:val="center"/>
          </w:tcPr>
          <w:p w14:paraId="71EF44E4">
            <w:pPr>
              <w:spacing w:line="228" w:lineRule="auto"/>
              <w:rPr>
                <w:rFonts w:ascii="宋体" w:hAnsi="宋体" w:cs="Times New Roman"/>
                <w:sz w:val="18"/>
                <w:szCs w:val="18"/>
              </w:rPr>
            </w:pPr>
            <w:r>
              <w:rPr>
                <w:rFonts w:hint="eastAsia" w:ascii="宋体" w:hAnsi="宋体" w:cs="Times New Roman"/>
                <w:sz w:val="18"/>
                <w:szCs w:val="18"/>
              </w:rPr>
              <w:t>投标方同类型项目业绩</w:t>
            </w:r>
          </w:p>
        </w:tc>
        <w:tc>
          <w:tcPr>
            <w:tcW w:w="580" w:type="dxa"/>
            <w:vAlign w:val="center"/>
          </w:tcPr>
          <w:p w14:paraId="6D606515">
            <w:pPr>
              <w:tabs>
                <w:tab w:val="left" w:pos="13965"/>
              </w:tabs>
              <w:spacing w:line="228" w:lineRule="auto"/>
              <w:jc w:val="center"/>
              <w:rPr>
                <w:rFonts w:ascii="宋体" w:hAnsi="宋体" w:cs="Times New Roman"/>
                <w:sz w:val="18"/>
                <w:szCs w:val="18"/>
              </w:rPr>
            </w:pPr>
            <w:r>
              <w:rPr>
                <w:rFonts w:ascii="宋体" w:hAnsi="宋体" w:cs="Times New Roman"/>
                <w:sz w:val="18"/>
                <w:szCs w:val="18"/>
              </w:rPr>
              <w:t>10</w:t>
            </w:r>
          </w:p>
        </w:tc>
        <w:tc>
          <w:tcPr>
            <w:tcW w:w="8919" w:type="dxa"/>
            <w:vAlign w:val="center"/>
          </w:tcPr>
          <w:p w14:paraId="3939A59A">
            <w:pPr>
              <w:spacing w:line="228" w:lineRule="auto"/>
              <w:rPr>
                <w:rFonts w:ascii="宋体" w:hAnsi="宋体" w:cs="Times New Roman"/>
                <w:bCs/>
                <w:sz w:val="18"/>
                <w:szCs w:val="18"/>
              </w:rPr>
            </w:pPr>
            <w:r>
              <w:rPr>
                <w:rFonts w:hint="eastAsia" w:ascii="宋体" w:hAnsi="宋体" w:cs="Times New Roman"/>
                <w:bCs/>
                <w:sz w:val="18"/>
                <w:szCs w:val="18"/>
              </w:rPr>
              <w:t>由评标委员会成员独立进行客观、公正的评价，按照优、良、一般进行赋分，最高</w:t>
            </w:r>
            <w:r>
              <w:rPr>
                <w:rFonts w:ascii="宋体" w:hAnsi="宋体" w:cs="Times New Roman"/>
                <w:bCs/>
                <w:sz w:val="18"/>
                <w:szCs w:val="18"/>
              </w:rPr>
              <w:t>10</w:t>
            </w:r>
            <w:r>
              <w:rPr>
                <w:rFonts w:hint="eastAsia" w:ascii="宋体" w:hAnsi="宋体" w:cs="Times New Roman"/>
                <w:bCs/>
                <w:sz w:val="18"/>
                <w:szCs w:val="18"/>
              </w:rPr>
              <w:t>分（时间以签订日期为准）。</w:t>
            </w:r>
          </w:p>
          <w:p w14:paraId="714BA16D">
            <w:pPr>
              <w:spacing w:line="228" w:lineRule="auto"/>
              <w:rPr>
                <w:rFonts w:ascii="宋体" w:hAnsi="宋体"/>
                <w:sz w:val="18"/>
                <w:szCs w:val="18"/>
              </w:rPr>
            </w:pPr>
            <w:r>
              <w:rPr>
                <w:rFonts w:hint="eastAsia" w:ascii="宋体" w:hAnsi="宋体" w:cs="Times New Roman"/>
                <w:bCs/>
                <w:sz w:val="18"/>
                <w:szCs w:val="18"/>
              </w:rPr>
              <w:t>投标人在20</w:t>
            </w:r>
            <w:r>
              <w:rPr>
                <w:rFonts w:ascii="宋体" w:hAnsi="宋体" w:cs="Times New Roman"/>
                <w:bCs/>
                <w:sz w:val="18"/>
                <w:szCs w:val="18"/>
              </w:rPr>
              <w:t>22</w:t>
            </w:r>
            <w:r>
              <w:rPr>
                <w:rFonts w:hint="eastAsia" w:ascii="宋体" w:hAnsi="宋体" w:cs="Times New Roman"/>
                <w:bCs/>
                <w:sz w:val="18"/>
                <w:szCs w:val="18"/>
              </w:rPr>
              <w:t>年1月1日以来在中国与本标同类规格产品的业绩，以合同复印件加盖公章为准（须有客户联系方式及联系人以供招标人核实确认）。</w:t>
            </w:r>
          </w:p>
        </w:tc>
      </w:tr>
      <w:tr w14:paraId="692CA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574C82D6">
            <w:pPr>
              <w:spacing w:line="228" w:lineRule="auto"/>
              <w:jc w:val="center"/>
              <w:rPr>
                <w:rFonts w:ascii="宋体" w:hAnsi="宋体" w:cs="Times New Roman"/>
                <w:sz w:val="18"/>
                <w:szCs w:val="18"/>
              </w:rPr>
            </w:pPr>
          </w:p>
        </w:tc>
        <w:tc>
          <w:tcPr>
            <w:tcW w:w="600" w:type="dxa"/>
            <w:vMerge w:val="restart"/>
            <w:vAlign w:val="center"/>
          </w:tcPr>
          <w:p w14:paraId="3266345B">
            <w:pPr>
              <w:spacing w:line="228" w:lineRule="auto"/>
              <w:jc w:val="center"/>
              <w:rPr>
                <w:rFonts w:ascii="宋体" w:hAnsi="宋体" w:cs="Times New Roman"/>
                <w:sz w:val="18"/>
                <w:szCs w:val="18"/>
              </w:rPr>
            </w:pPr>
            <w:r>
              <w:rPr>
                <w:rFonts w:hint="eastAsia" w:ascii="宋体" w:hAnsi="宋体" w:cs="Times New Roman"/>
                <w:sz w:val="18"/>
                <w:szCs w:val="18"/>
              </w:rPr>
              <w:t>产品技术</w:t>
            </w:r>
          </w:p>
        </w:tc>
        <w:tc>
          <w:tcPr>
            <w:tcW w:w="603" w:type="dxa"/>
            <w:vAlign w:val="center"/>
          </w:tcPr>
          <w:p w14:paraId="70C81BB3">
            <w:pPr>
              <w:spacing w:line="228" w:lineRule="auto"/>
              <w:jc w:val="center"/>
              <w:rPr>
                <w:rFonts w:ascii="宋体" w:hAnsi="宋体" w:cs="Times New Roman"/>
                <w:sz w:val="18"/>
                <w:szCs w:val="18"/>
              </w:rPr>
            </w:pPr>
            <w:r>
              <w:rPr>
                <w:rFonts w:ascii="宋体" w:hAnsi="宋体" w:cs="Times New Roman"/>
                <w:sz w:val="18"/>
                <w:szCs w:val="18"/>
              </w:rPr>
              <w:t>2</w:t>
            </w:r>
          </w:p>
        </w:tc>
        <w:tc>
          <w:tcPr>
            <w:tcW w:w="2757" w:type="dxa"/>
            <w:vAlign w:val="center"/>
          </w:tcPr>
          <w:p w14:paraId="48239A45">
            <w:pPr>
              <w:spacing w:line="228" w:lineRule="auto"/>
              <w:rPr>
                <w:rFonts w:ascii="宋体" w:hAnsi="宋体" w:cs="Times New Roman"/>
                <w:bCs/>
                <w:sz w:val="18"/>
                <w:szCs w:val="18"/>
              </w:rPr>
            </w:pPr>
            <w:r>
              <w:rPr>
                <w:rFonts w:hint="eastAsia" w:ascii="宋体" w:hAnsi="宋体" w:cs="Times New Roman"/>
                <w:bCs/>
                <w:sz w:val="18"/>
                <w:szCs w:val="18"/>
              </w:rPr>
              <w:t>投标方设备设计能力，安装能力，搬迁能力。</w:t>
            </w:r>
          </w:p>
        </w:tc>
        <w:tc>
          <w:tcPr>
            <w:tcW w:w="580" w:type="dxa"/>
            <w:vAlign w:val="center"/>
          </w:tcPr>
          <w:p w14:paraId="76DA5963">
            <w:pPr>
              <w:spacing w:line="228" w:lineRule="auto"/>
              <w:jc w:val="center"/>
              <w:rPr>
                <w:rFonts w:ascii="宋体" w:hAnsi="宋体" w:cs="Times New Roman"/>
                <w:sz w:val="18"/>
                <w:szCs w:val="18"/>
              </w:rPr>
            </w:pPr>
            <w:r>
              <w:rPr>
                <w:rFonts w:ascii="宋体" w:hAnsi="宋体" w:cs="Times New Roman"/>
                <w:sz w:val="18"/>
                <w:szCs w:val="18"/>
              </w:rPr>
              <w:t>15</w:t>
            </w:r>
          </w:p>
        </w:tc>
        <w:tc>
          <w:tcPr>
            <w:tcW w:w="8919" w:type="dxa"/>
            <w:vAlign w:val="center"/>
          </w:tcPr>
          <w:p w14:paraId="58CFA3D6">
            <w:pPr>
              <w:spacing w:line="228" w:lineRule="auto"/>
              <w:rPr>
                <w:rFonts w:ascii="宋体" w:hAnsi="宋体" w:cs="Times New Roman"/>
                <w:sz w:val="18"/>
                <w:szCs w:val="18"/>
              </w:rPr>
            </w:pPr>
            <w:r>
              <w:rPr>
                <w:rFonts w:hint="eastAsia" w:ascii="宋体" w:hAnsi="宋体" w:cs="Times New Roman"/>
                <w:bCs/>
                <w:sz w:val="18"/>
                <w:szCs w:val="18"/>
              </w:rPr>
              <w:t>由评标委员会成员独立进行客观、公正的评价，按照优、良、一般进行赋分，最高1</w:t>
            </w:r>
            <w:r>
              <w:rPr>
                <w:rFonts w:ascii="宋体" w:hAnsi="宋体" w:cs="Times New Roman"/>
                <w:bCs/>
                <w:sz w:val="18"/>
                <w:szCs w:val="18"/>
              </w:rPr>
              <w:t>5</w:t>
            </w:r>
            <w:r>
              <w:rPr>
                <w:rFonts w:hint="eastAsia" w:ascii="宋体" w:hAnsi="宋体" w:cs="Times New Roman"/>
                <w:bCs/>
                <w:sz w:val="18"/>
                <w:szCs w:val="18"/>
              </w:rPr>
              <w:t>分。</w:t>
            </w:r>
          </w:p>
        </w:tc>
      </w:tr>
      <w:tr w14:paraId="0A9A4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718" w:type="dxa"/>
            <w:vMerge w:val="continue"/>
            <w:vAlign w:val="center"/>
          </w:tcPr>
          <w:p w14:paraId="6959DE42">
            <w:pPr>
              <w:spacing w:line="228" w:lineRule="auto"/>
              <w:jc w:val="center"/>
              <w:rPr>
                <w:rFonts w:ascii="宋体" w:hAnsi="宋体" w:cs="Times New Roman"/>
                <w:sz w:val="18"/>
                <w:szCs w:val="18"/>
              </w:rPr>
            </w:pPr>
          </w:p>
        </w:tc>
        <w:tc>
          <w:tcPr>
            <w:tcW w:w="600" w:type="dxa"/>
            <w:vMerge w:val="continue"/>
            <w:vAlign w:val="center"/>
          </w:tcPr>
          <w:p w14:paraId="1EA003E9">
            <w:pPr>
              <w:spacing w:line="228" w:lineRule="auto"/>
              <w:jc w:val="center"/>
              <w:rPr>
                <w:rFonts w:ascii="宋体" w:hAnsi="宋体" w:cs="Times New Roman"/>
                <w:sz w:val="18"/>
                <w:szCs w:val="18"/>
              </w:rPr>
            </w:pPr>
          </w:p>
        </w:tc>
        <w:tc>
          <w:tcPr>
            <w:tcW w:w="603" w:type="dxa"/>
            <w:vAlign w:val="center"/>
          </w:tcPr>
          <w:p w14:paraId="6431AC29">
            <w:pPr>
              <w:spacing w:line="228" w:lineRule="auto"/>
              <w:jc w:val="center"/>
              <w:rPr>
                <w:rFonts w:ascii="宋体" w:hAnsi="宋体" w:cs="Times New Roman"/>
                <w:sz w:val="18"/>
                <w:szCs w:val="18"/>
              </w:rPr>
            </w:pPr>
            <w:r>
              <w:rPr>
                <w:rFonts w:hint="eastAsia" w:ascii="宋体" w:hAnsi="宋体" w:cs="Times New Roman"/>
                <w:sz w:val="18"/>
                <w:szCs w:val="18"/>
              </w:rPr>
              <w:t>3</w:t>
            </w:r>
          </w:p>
        </w:tc>
        <w:tc>
          <w:tcPr>
            <w:tcW w:w="2757" w:type="dxa"/>
            <w:vAlign w:val="center"/>
          </w:tcPr>
          <w:p w14:paraId="03D20D0E">
            <w:pPr>
              <w:spacing w:line="228" w:lineRule="auto"/>
              <w:rPr>
                <w:rFonts w:ascii="宋体" w:hAnsi="宋体" w:cs="Times New Roman"/>
                <w:bCs/>
                <w:sz w:val="18"/>
                <w:szCs w:val="18"/>
              </w:rPr>
            </w:pPr>
            <w:r>
              <w:rPr>
                <w:rFonts w:hint="eastAsia" w:ascii="宋体" w:hAnsi="宋体" w:cs="Times New Roman"/>
                <w:bCs/>
                <w:sz w:val="18"/>
                <w:szCs w:val="18"/>
              </w:rPr>
              <w:t>搬迁方案</w:t>
            </w:r>
          </w:p>
        </w:tc>
        <w:tc>
          <w:tcPr>
            <w:tcW w:w="580" w:type="dxa"/>
            <w:vAlign w:val="center"/>
          </w:tcPr>
          <w:p w14:paraId="4FCB3F4E">
            <w:pPr>
              <w:spacing w:line="228" w:lineRule="auto"/>
              <w:jc w:val="center"/>
              <w:rPr>
                <w:rFonts w:ascii="宋体" w:hAnsi="宋体" w:cs="Times New Roman"/>
                <w:sz w:val="18"/>
                <w:szCs w:val="18"/>
              </w:rPr>
            </w:pPr>
            <w:r>
              <w:rPr>
                <w:rFonts w:ascii="宋体" w:hAnsi="宋体" w:cs="Times New Roman"/>
                <w:sz w:val="18"/>
                <w:szCs w:val="18"/>
              </w:rPr>
              <w:t>40</w:t>
            </w:r>
          </w:p>
        </w:tc>
        <w:tc>
          <w:tcPr>
            <w:tcW w:w="8919" w:type="dxa"/>
            <w:vAlign w:val="center"/>
          </w:tcPr>
          <w:p w14:paraId="30C770D5">
            <w:pPr>
              <w:spacing w:line="228" w:lineRule="auto"/>
              <w:rPr>
                <w:rFonts w:ascii="宋体" w:hAnsi="宋体" w:cs="Times New Roman"/>
                <w:bCs/>
                <w:sz w:val="18"/>
                <w:szCs w:val="18"/>
              </w:rPr>
            </w:pPr>
            <w:r>
              <w:rPr>
                <w:rFonts w:hint="eastAsia" w:ascii="宋体" w:hAnsi="宋体" w:cs="Times New Roman"/>
                <w:sz w:val="18"/>
                <w:szCs w:val="18"/>
              </w:rPr>
              <w:t>以下各项由评标委员会成员独立进行客观、公正的评价打分。</w:t>
            </w:r>
          </w:p>
          <w:p w14:paraId="19E9E1AF">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搬迁方案可行性，细化程度，打分</w:t>
            </w:r>
            <w:r>
              <w:rPr>
                <w:rFonts w:ascii="宋体" w:hAnsi="宋体" w:cs="Times New Roman"/>
                <w:bCs/>
                <w:sz w:val="18"/>
                <w:szCs w:val="18"/>
              </w:rPr>
              <w:t>0-5分。</w:t>
            </w:r>
          </w:p>
          <w:p w14:paraId="255D1DF2">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搬迁设备情况；打分</w:t>
            </w:r>
            <w:r>
              <w:rPr>
                <w:rFonts w:ascii="宋体" w:hAnsi="宋体" w:cs="Times New Roman"/>
                <w:bCs/>
                <w:sz w:val="18"/>
                <w:szCs w:val="18"/>
              </w:rPr>
              <w:t>0-3分。</w:t>
            </w:r>
          </w:p>
          <w:p w14:paraId="1CBF6114">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配备人员情况，打分</w:t>
            </w:r>
            <w:r>
              <w:rPr>
                <w:rFonts w:ascii="宋体" w:hAnsi="宋体" w:cs="Times New Roman"/>
                <w:bCs/>
                <w:sz w:val="18"/>
                <w:szCs w:val="18"/>
              </w:rPr>
              <w:t>0-4分。</w:t>
            </w:r>
          </w:p>
          <w:p w14:paraId="4DDEA7D7">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安全管理，打分</w:t>
            </w:r>
            <w:r>
              <w:rPr>
                <w:rFonts w:ascii="宋体" w:hAnsi="宋体" w:cs="Times New Roman"/>
                <w:bCs/>
                <w:sz w:val="18"/>
                <w:szCs w:val="18"/>
              </w:rPr>
              <w:t>0-6分</w:t>
            </w:r>
          </w:p>
          <w:p w14:paraId="24BAD369">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拆解和标记，打分</w:t>
            </w:r>
            <w:r>
              <w:rPr>
                <w:rFonts w:ascii="宋体" w:hAnsi="宋体" w:cs="Times New Roman"/>
                <w:bCs/>
                <w:sz w:val="18"/>
                <w:szCs w:val="18"/>
              </w:rPr>
              <w:t>0-6分。</w:t>
            </w:r>
          </w:p>
          <w:p w14:paraId="019D56D0">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打包防护，打分0～</w:t>
            </w:r>
            <w:r>
              <w:rPr>
                <w:rFonts w:ascii="宋体" w:hAnsi="宋体" w:cs="Times New Roman"/>
                <w:bCs/>
                <w:sz w:val="18"/>
                <w:szCs w:val="18"/>
              </w:rPr>
              <w:t>3</w:t>
            </w:r>
            <w:r>
              <w:rPr>
                <w:rFonts w:hint="eastAsia" w:ascii="宋体" w:hAnsi="宋体" w:cs="Times New Roman"/>
                <w:bCs/>
                <w:sz w:val="18"/>
                <w:szCs w:val="18"/>
              </w:rPr>
              <w:t>分</w:t>
            </w:r>
            <w:r>
              <w:rPr>
                <w:rFonts w:ascii="宋体" w:hAnsi="宋体" w:cs="Times New Roman"/>
                <w:bCs/>
                <w:sz w:val="18"/>
                <w:szCs w:val="18"/>
              </w:rPr>
              <w:t>。</w:t>
            </w:r>
          </w:p>
          <w:p w14:paraId="4AD851DD">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运输，打分0～</w:t>
            </w:r>
            <w:r>
              <w:rPr>
                <w:rFonts w:ascii="宋体" w:hAnsi="宋体" w:cs="Times New Roman"/>
                <w:bCs/>
                <w:sz w:val="18"/>
                <w:szCs w:val="18"/>
              </w:rPr>
              <w:t>3</w:t>
            </w:r>
            <w:r>
              <w:rPr>
                <w:rFonts w:hint="eastAsia" w:ascii="宋体" w:hAnsi="宋体" w:cs="Times New Roman"/>
                <w:bCs/>
                <w:sz w:val="18"/>
                <w:szCs w:val="18"/>
              </w:rPr>
              <w:t>分</w:t>
            </w:r>
            <w:r>
              <w:rPr>
                <w:rFonts w:ascii="宋体" w:hAnsi="宋体" w:cs="Times New Roman"/>
                <w:bCs/>
                <w:sz w:val="18"/>
                <w:szCs w:val="18"/>
              </w:rPr>
              <w:t>。</w:t>
            </w:r>
          </w:p>
          <w:p w14:paraId="4D79602A">
            <w:pPr>
              <w:numPr>
                <w:ilvl w:val="0"/>
                <w:numId w:val="94"/>
              </w:numPr>
              <w:spacing w:line="228" w:lineRule="auto"/>
              <w:rPr>
                <w:rFonts w:ascii="宋体" w:hAnsi="宋体" w:cs="Times New Roman"/>
                <w:bCs/>
                <w:sz w:val="18"/>
                <w:szCs w:val="18"/>
              </w:rPr>
            </w:pPr>
            <w:r>
              <w:rPr>
                <w:rFonts w:hint="eastAsia" w:ascii="宋体" w:hAnsi="宋体" w:cs="Times New Roman"/>
                <w:bCs/>
                <w:sz w:val="18"/>
                <w:szCs w:val="18"/>
              </w:rPr>
              <w:t>安装，打分</w:t>
            </w:r>
            <w:r>
              <w:rPr>
                <w:rFonts w:ascii="宋体" w:hAnsi="宋体" w:cs="Times New Roman"/>
                <w:bCs/>
                <w:sz w:val="18"/>
                <w:szCs w:val="18"/>
              </w:rPr>
              <w:t>0-10分。</w:t>
            </w:r>
          </w:p>
        </w:tc>
      </w:tr>
      <w:tr w14:paraId="37BB0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 w:hRule="atLeast"/>
          <w:jc w:val="center"/>
        </w:trPr>
        <w:tc>
          <w:tcPr>
            <w:tcW w:w="718" w:type="dxa"/>
            <w:vMerge w:val="continue"/>
            <w:vAlign w:val="center"/>
          </w:tcPr>
          <w:p w14:paraId="38F59F06">
            <w:pPr>
              <w:spacing w:line="228" w:lineRule="auto"/>
              <w:jc w:val="center"/>
              <w:rPr>
                <w:rFonts w:ascii="宋体" w:hAnsi="宋体" w:cs="Times New Roman"/>
                <w:sz w:val="18"/>
                <w:szCs w:val="18"/>
              </w:rPr>
            </w:pPr>
          </w:p>
        </w:tc>
        <w:tc>
          <w:tcPr>
            <w:tcW w:w="600" w:type="dxa"/>
            <w:vAlign w:val="center"/>
          </w:tcPr>
          <w:p w14:paraId="500DFDE8">
            <w:pPr>
              <w:spacing w:line="228" w:lineRule="auto"/>
              <w:jc w:val="center"/>
              <w:rPr>
                <w:rFonts w:ascii="宋体" w:hAnsi="宋体" w:cs="Times New Roman"/>
                <w:sz w:val="18"/>
                <w:szCs w:val="18"/>
              </w:rPr>
            </w:pPr>
            <w:r>
              <w:rPr>
                <w:rFonts w:hint="eastAsia" w:ascii="宋体" w:hAnsi="宋体" w:cs="Times New Roman"/>
                <w:sz w:val="18"/>
                <w:szCs w:val="18"/>
              </w:rPr>
              <w:t>答疑</w:t>
            </w:r>
          </w:p>
        </w:tc>
        <w:tc>
          <w:tcPr>
            <w:tcW w:w="603" w:type="dxa"/>
            <w:vAlign w:val="center"/>
          </w:tcPr>
          <w:p w14:paraId="4BFADA9A">
            <w:pPr>
              <w:spacing w:line="228" w:lineRule="auto"/>
              <w:jc w:val="center"/>
              <w:rPr>
                <w:rFonts w:ascii="宋体" w:hAnsi="宋体" w:cs="Times New Roman"/>
                <w:sz w:val="18"/>
                <w:szCs w:val="18"/>
              </w:rPr>
            </w:pPr>
            <w:r>
              <w:rPr>
                <w:rFonts w:hint="eastAsia" w:ascii="宋体" w:hAnsi="宋体" w:cs="Times New Roman"/>
                <w:sz w:val="18"/>
                <w:szCs w:val="18"/>
              </w:rPr>
              <w:t>4</w:t>
            </w:r>
          </w:p>
        </w:tc>
        <w:tc>
          <w:tcPr>
            <w:tcW w:w="2757" w:type="dxa"/>
            <w:vAlign w:val="center"/>
          </w:tcPr>
          <w:p w14:paraId="7C37AF73">
            <w:pPr>
              <w:spacing w:line="228" w:lineRule="auto"/>
              <w:rPr>
                <w:rFonts w:ascii="宋体" w:hAnsi="宋体" w:cs="Times New Roman"/>
                <w:bCs/>
                <w:sz w:val="18"/>
                <w:szCs w:val="18"/>
              </w:rPr>
            </w:pPr>
            <w:r>
              <w:rPr>
                <w:rFonts w:hint="eastAsia" w:ascii="宋体" w:hAnsi="宋体" w:cs="Times New Roman"/>
                <w:bCs/>
                <w:sz w:val="18"/>
                <w:szCs w:val="18"/>
              </w:rPr>
              <w:t>现场答疑</w:t>
            </w:r>
          </w:p>
        </w:tc>
        <w:tc>
          <w:tcPr>
            <w:tcW w:w="580" w:type="dxa"/>
            <w:vAlign w:val="center"/>
          </w:tcPr>
          <w:p w14:paraId="2A207116">
            <w:pPr>
              <w:spacing w:line="228" w:lineRule="auto"/>
              <w:jc w:val="center"/>
              <w:rPr>
                <w:rFonts w:ascii="宋体" w:hAnsi="宋体" w:cs="Times New Roman"/>
                <w:sz w:val="18"/>
                <w:szCs w:val="18"/>
              </w:rPr>
            </w:pPr>
            <w:r>
              <w:rPr>
                <w:rFonts w:ascii="宋体" w:hAnsi="宋体" w:cs="Times New Roman"/>
                <w:sz w:val="18"/>
                <w:szCs w:val="18"/>
              </w:rPr>
              <w:t>5</w:t>
            </w:r>
          </w:p>
        </w:tc>
        <w:tc>
          <w:tcPr>
            <w:tcW w:w="8919" w:type="dxa"/>
            <w:vAlign w:val="center"/>
          </w:tcPr>
          <w:p w14:paraId="50E276D5">
            <w:pPr>
              <w:spacing w:line="228" w:lineRule="auto"/>
              <w:rPr>
                <w:rFonts w:ascii="宋体" w:hAnsi="宋体" w:cs="Times New Roman"/>
                <w:bCs/>
                <w:sz w:val="18"/>
                <w:szCs w:val="18"/>
              </w:rPr>
            </w:pPr>
            <w:r>
              <w:rPr>
                <w:rFonts w:hint="eastAsia" w:ascii="宋体" w:hAnsi="宋体" w:cs="Times New Roman"/>
                <w:sz w:val="18"/>
                <w:szCs w:val="18"/>
              </w:rPr>
              <w:t>投标人代表对方案、技术优势的讲解，以及就该项目难点回答评标专家现场提问，打分0-</w:t>
            </w:r>
            <w:r>
              <w:rPr>
                <w:rFonts w:ascii="宋体" w:hAnsi="宋体" w:cs="Times New Roman"/>
                <w:sz w:val="18"/>
                <w:szCs w:val="18"/>
              </w:rPr>
              <w:t>4</w:t>
            </w:r>
            <w:r>
              <w:rPr>
                <w:rFonts w:hint="eastAsia" w:ascii="宋体" w:hAnsi="宋体" w:cs="Times New Roman"/>
                <w:sz w:val="18"/>
                <w:szCs w:val="18"/>
              </w:rPr>
              <w:t>分。</w:t>
            </w:r>
          </w:p>
        </w:tc>
      </w:tr>
      <w:tr w14:paraId="40952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40E1562E">
            <w:pPr>
              <w:spacing w:line="228" w:lineRule="auto"/>
              <w:jc w:val="center"/>
              <w:rPr>
                <w:rFonts w:ascii="宋体" w:hAnsi="宋体" w:cs="Times New Roman"/>
                <w:sz w:val="18"/>
                <w:szCs w:val="18"/>
              </w:rPr>
            </w:pPr>
          </w:p>
        </w:tc>
        <w:tc>
          <w:tcPr>
            <w:tcW w:w="600" w:type="dxa"/>
            <w:vAlign w:val="center"/>
          </w:tcPr>
          <w:p w14:paraId="5F6C73A1">
            <w:pPr>
              <w:spacing w:line="228" w:lineRule="auto"/>
              <w:jc w:val="center"/>
              <w:rPr>
                <w:rFonts w:ascii="宋体" w:hAnsi="宋体" w:cs="Times New Roman"/>
                <w:sz w:val="18"/>
                <w:szCs w:val="18"/>
              </w:rPr>
            </w:pPr>
            <w:r>
              <w:rPr>
                <w:rFonts w:hint="eastAsia" w:ascii="宋体" w:hAnsi="宋体" w:cs="Times New Roman"/>
                <w:sz w:val="18"/>
                <w:szCs w:val="18"/>
              </w:rPr>
              <w:t>技术偏离</w:t>
            </w:r>
          </w:p>
        </w:tc>
        <w:tc>
          <w:tcPr>
            <w:tcW w:w="603" w:type="dxa"/>
            <w:vAlign w:val="center"/>
          </w:tcPr>
          <w:p w14:paraId="7E9D2343">
            <w:pPr>
              <w:spacing w:line="228" w:lineRule="auto"/>
              <w:jc w:val="center"/>
              <w:rPr>
                <w:rFonts w:ascii="宋体" w:hAnsi="宋体" w:cs="Times New Roman"/>
                <w:sz w:val="18"/>
                <w:szCs w:val="18"/>
              </w:rPr>
            </w:pPr>
            <w:r>
              <w:rPr>
                <w:rFonts w:ascii="宋体" w:hAnsi="宋体" w:cs="Times New Roman"/>
                <w:sz w:val="18"/>
                <w:szCs w:val="18"/>
              </w:rPr>
              <w:t>5</w:t>
            </w:r>
          </w:p>
        </w:tc>
        <w:tc>
          <w:tcPr>
            <w:tcW w:w="2757" w:type="dxa"/>
            <w:vAlign w:val="center"/>
          </w:tcPr>
          <w:p w14:paraId="585D194B">
            <w:pPr>
              <w:spacing w:line="228" w:lineRule="auto"/>
              <w:rPr>
                <w:rFonts w:ascii="宋体" w:hAnsi="宋体" w:cs="Times New Roman"/>
                <w:sz w:val="18"/>
                <w:szCs w:val="18"/>
              </w:rPr>
            </w:pPr>
            <w:r>
              <w:rPr>
                <w:rFonts w:hint="eastAsia" w:ascii="宋体" w:hAnsi="宋体" w:cs="Times New Roman"/>
                <w:bCs/>
                <w:sz w:val="18"/>
                <w:szCs w:val="18"/>
              </w:rPr>
              <w:t>技术偏离</w:t>
            </w:r>
          </w:p>
        </w:tc>
        <w:tc>
          <w:tcPr>
            <w:tcW w:w="580" w:type="dxa"/>
            <w:vAlign w:val="center"/>
          </w:tcPr>
          <w:p w14:paraId="05E001B1">
            <w:pPr>
              <w:spacing w:line="228" w:lineRule="auto"/>
              <w:jc w:val="center"/>
              <w:rPr>
                <w:rFonts w:ascii="宋体" w:hAnsi="宋体" w:cs="Times New Roman"/>
                <w:sz w:val="18"/>
                <w:szCs w:val="18"/>
              </w:rPr>
            </w:pPr>
            <w:r>
              <w:rPr>
                <w:rFonts w:ascii="宋体" w:hAnsi="宋体" w:cs="Times New Roman"/>
                <w:sz w:val="18"/>
                <w:szCs w:val="18"/>
              </w:rPr>
              <w:t>15</w:t>
            </w:r>
          </w:p>
        </w:tc>
        <w:tc>
          <w:tcPr>
            <w:tcW w:w="8919" w:type="dxa"/>
            <w:vAlign w:val="center"/>
          </w:tcPr>
          <w:p w14:paraId="386E21FD">
            <w:pPr>
              <w:spacing w:line="228" w:lineRule="auto"/>
              <w:jc w:val="left"/>
              <w:rPr>
                <w:rFonts w:ascii="宋体" w:hAnsi="宋体" w:cs="Times New Roman"/>
                <w:bCs/>
                <w:sz w:val="18"/>
                <w:szCs w:val="18"/>
              </w:rPr>
            </w:pPr>
            <w:r>
              <w:rPr>
                <w:rFonts w:hint="eastAsia" w:ascii="宋体" w:hAnsi="宋体" w:cs="Times New Roman"/>
                <w:bCs/>
                <w:sz w:val="18"/>
                <w:szCs w:val="18"/>
              </w:rPr>
              <w:t>由评标委员会成员独立进行客观、公正的评价，根据各投标单位的核心产品的配置参数、技术偏离情况，在满足我司技术基本要求的前提下偏离，无偏离得满分</w:t>
            </w:r>
            <w:r>
              <w:rPr>
                <w:rFonts w:ascii="宋体" w:hAnsi="宋体" w:cs="Times New Roman"/>
                <w:bCs/>
                <w:sz w:val="18"/>
                <w:szCs w:val="18"/>
              </w:rPr>
              <w:t>15</w:t>
            </w:r>
            <w:r>
              <w:rPr>
                <w:rFonts w:hint="eastAsia" w:ascii="宋体" w:hAnsi="宋体" w:cs="Times New Roman"/>
                <w:bCs/>
                <w:sz w:val="18"/>
                <w:szCs w:val="18"/>
              </w:rPr>
              <w:t>分，较大偏离每一项扣</w:t>
            </w:r>
            <w:r>
              <w:rPr>
                <w:rFonts w:ascii="宋体" w:hAnsi="宋体" w:cs="Times New Roman"/>
                <w:bCs/>
                <w:sz w:val="18"/>
                <w:szCs w:val="18"/>
              </w:rPr>
              <w:t>3</w:t>
            </w:r>
            <w:r>
              <w:rPr>
                <w:rFonts w:hint="eastAsia" w:ascii="宋体" w:hAnsi="宋体" w:cs="Times New Roman"/>
                <w:bCs/>
                <w:sz w:val="18"/>
                <w:szCs w:val="18"/>
              </w:rPr>
              <w:t>分，一般偏离每一项扣</w:t>
            </w:r>
            <w:r>
              <w:rPr>
                <w:rFonts w:ascii="宋体" w:hAnsi="宋体" w:cs="Times New Roman"/>
                <w:bCs/>
                <w:sz w:val="18"/>
                <w:szCs w:val="18"/>
              </w:rPr>
              <w:t>2</w:t>
            </w:r>
            <w:r>
              <w:rPr>
                <w:rFonts w:hint="eastAsia" w:ascii="宋体" w:hAnsi="宋体" w:cs="Times New Roman"/>
                <w:bCs/>
                <w:sz w:val="18"/>
                <w:szCs w:val="18"/>
              </w:rPr>
              <w:t>分，最低得分</w:t>
            </w:r>
            <w:r>
              <w:rPr>
                <w:rFonts w:ascii="宋体" w:hAnsi="宋体" w:cs="Times New Roman"/>
                <w:bCs/>
                <w:sz w:val="18"/>
                <w:szCs w:val="18"/>
              </w:rPr>
              <w:t>0</w:t>
            </w:r>
            <w:r>
              <w:rPr>
                <w:rFonts w:hint="eastAsia" w:ascii="宋体" w:hAnsi="宋体" w:cs="Times New Roman"/>
                <w:bCs/>
                <w:sz w:val="18"/>
                <w:szCs w:val="18"/>
              </w:rPr>
              <w:t>分。</w:t>
            </w:r>
          </w:p>
        </w:tc>
      </w:tr>
      <w:tr w14:paraId="603E3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5F28F908">
            <w:pPr>
              <w:spacing w:line="228" w:lineRule="auto"/>
              <w:jc w:val="center"/>
              <w:rPr>
                <w:rFonts w:ascii="宋体" w:hAnsi="宋体" w:cs="Times New Roman"/>
                <w:sz w:val="18"/>
                <w:szCs w:val="18"/>
              </w:rPr>
            </w:pPr>
          </w:p>
        </w:tc>
        <w:tc>
          <w:tcPr>
            <w:tcW w:w="600" w:type="dxa"/>
            <w:vMerge w:val="restart"/>
            <w:vAlign w:val="center"/>
          </w:tcPr>
          <w:p w14:paraId="18B30A5E">
            <w:pPr>
              <w:spacing w:line="228" w:lineRule="auto"/>
              <w:jc w:val="center"/>
              <w:rPr>
                <w:rFonts w:ascii="宋体" w:hAnsi="宋体" w:cs="Times New Roman"/>
                <w:sz w:val="18"/>
                <w:szCs w:val="18"/>
              </w:rPr>
            </w:pPr>
            <w:r>
              <w:rPr>
                <w:rFonts w:hint="eastAsia" w:ascii="宋体" w:hAnsi="宋体" w:cs="Times New Roman"/>
                <w:sz w:val="18"/>
                <w:szCs w:val="18"/>
              </w:rPr>
              <w:t>售后服务</w:t>
            </w:r>
          </w:p>
        </w:tc>
        <w:tc>
          <w:tcPr>
            <w:tcW w:w="603" w:type="dxa"/>
            <w:vAlign w:val="center"/>
          </w:tcPr>
          <w:p w14:paraId="48E80FF4">
            <w:pPr>
              <w:spacing w:line="228" w:lineRule="auto"/>
              <w:jc w:val="center"/>
              <w:rPr>
                <w:rFonts w:ascii="宋体" w:hAnsi="宋体" w:cs="Times New Roman"/>
                <w:sz w:val="18"/>
                <w:szCs w:val="18"/>
              </w:rPr>
            </w:pPr>
            <w:r>
              <w:rPr>
                <w:rFonts w:ascii="宋体" w:hAnsi="宋体" w:cs="Times New Roman"/>
                <w:sz w:val="18"/>
                <w:szCs w:val="18"/>
              </w:rPr>
              <w:t>6</w:t>
            </w:r>
          </w:p>
        </w:tc>
        <w:tc>
          <w:tcPr>
            <w:tcW w:w="2757" w:type="dxa"/>
            <w:vAlign w:val="center"/>
          </w:tcPr>
          <w:p w14:paraId="38B7C730">
            <w:pPr>
              <w:spacing w:line="228" w:lineRule="auto"/>
              <w:rPr>
                <w:rFonts w:ascii="宋体" w:hAnsi="宋体" w:cs="Times New Roman"/>
                <w:sz w:val="18"/>
                <w:szCs w:val="18"/>
              </w:rPr>
            </w:pPr>
            <w:r>
              <w:rPr>
                <w:rFonts w:hint="eastAsia" w:ascii="宋体" w:hAnsi="宋体" w:cs="Times New Roman"/>
                <w:sz w:val="18"/>
                <w:szCs w:val="18"/>
              </w:rPr>
              <w:t>技术培训方案：对采购方人员的技术培训方案安排科学、合理、可行</w:t>
            </w:r>
          </w:p>
        </w:tc>
        <w:tc>
          <w:tcPr>
            <w:tcW w:w="580" w:type="dxa"/>
            <w:vAlign w:val="center"/>
          </w:tcPr>
          <w:p w14:paraId="6AE15394">
            <w:pPr>
              <w:spacing w:line="228" w:lineRule="auto"/>
              <w:jc w:val="center"/>
              <w:rPr>
                <w:rFonts w:ascii="宋体" w:hAnsi="宋体" w:cs="Times New Roman"/>
                <w:sz w:val="18"/>
                <w:szCs w:val="18"/>
              </w:rPr>
            </w:pPr>
            <w:r>
              <w:rPr>
                <w:rFonts w:ascii="宋体" w:hAnsi="宋体" w:cs="Times New Roman"/>
                <w:sz w:val="18"/>
                <w:szCs w:val="18"/>
              </w:rPr>
              <w:t>5</w:t>
            </w:r>
          </w:p>
        </w:tc>
        <w:tc>
          <w:tcPr>
            <w:tcW w:w="8919" w:type="dxa"/>
            <w:vAlign w:val="center"/>
          </w:tcPr>
          <w:p w14:paraId="55774E4C">
            <w:pPr>
              <w:spacing w:line="228" w:lineRule="auto"/>
              <w:rPr>
                <w:rFonts w:ascii="宋体" w:hAnsi="宋体" w:cs="Times New Roman"/>
                <w:bCs/>
                <w:sz w:val="18"/>
                <w:szCs w:val="18"/>
              </w:rPr>
            </w:pPr>
            <w:r>
              <w:rPr>
                <w:rFonts w:hint="eastAsia" w:ascii="宋体" w:hAnsi="宋体" w:cs="Times New Roman"/>
                <w:bCs/>
                <w:sz w:val="18"/>
                <w:szCs w:val="18"/>
              </w:rPr>
              <w:t>由评标委员会成员独立进行客观、公正的评价，按照优、良、一般进行赋分，最高5分。</w:t>
            </w:r>
          </w:p>
        </w:tc>
      </w:tr>
      <w:tr w14:paraId="4989A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1A3A9F1E">
            <w:pPr>
              <w:spacing w:line="228" w:lineRule="auto"/>
              <w:jc w:val="center"/>
              <w:rPr>
                <w:rFonts w:ascii="宋体" w:hAnsi="宋体" w:cs="Times New Roman"/>
                <w:sz w:val="18"/>
                <w:szCs w:val="18"/>
              </w:rPr>
            </w:pPr>
          </w:p>
        </w:tc>
        <w:tc>
          <w:tcPr>
            <w:tcW w:w="600" w:type="dxa"/>
            <w:vMerge w:val="continue"/>
            <w:vAlign w:val="center"/>
          </w:tcPr>
          <w:p w14:paraId="3FFAB339">
            <w:pPr>
              <w:spacing w:line="228" w:lineRule="auto"/>
              <w:jc w:val="center"/>
              <w:rPr>
                <w:rFonts w:ascii="宋体" w:hAnsi="宋体" w:cs="Times New Roman"/>
                <w:sz w:val="18"/>
                <w:szCs w:val="18"/>
              </w:rPr>
            </w:pPr>
          </w:p>
        </w:tc>
        <w:tc>
          <w:tcPr>
            <w:tcW w:w="603" w:type="dxa"/>
            <w:vAlign w:val="center"/>
          </w:tcPr>
          <w:p w14:paraId="4B8CCBD6">
            <w:pPr>
              <w:spacing w:line="228" w:lineRule="auto"/>
              <w:jc w:val="center"/>
              <w:rPr>
                <w:rFonts w:ascii="宋体" w:hAnsi="宋体" w:cs="Times New Roman"/>
                <w:sz w:val="18"/>
                <w:szCs w:val="18"/>
              </w:rPr>
            </w:pPr>
            <w:r>
              <w:rPr>
                <w:rFonts w:ascii="宋体" w:hAnsi="宋体" w:cs="Times New Roman"/>
                <w:sz w:val="18"/>
                <w:szCs w:val="18"/>
              </w:rPr>
              <w:t>7</w:t>
            </w:r>
          </w:p>
        </w:tc>
        <w:tc>
          <w:tcPr>
            <w:tcW w:w="2757" w:type="dxa"/>
            <w:shd w:val="clear" w:color="auto" w:fill="auto"/>
            <w:vAlign w:val="center"/>
          </w:tcPr>
          <w:p w14:paraId="05286174">
            <w:pPr>
              <w:spacing w:line="228" w:lineRule="auto"/>
              <w:rPr>
                <w:rFonts w:ascii="宋体" w:hAnsi="宋体" w:cs="Times New Roman"/>
                <w:sz w:val="18"/>
                <w:szCs w:val="18"/>
              </w:rPr>
            </w:pPr>
            <w:r>
              <w:rPr>
                <w:rFonts w:hint="eastAsia" w:ascii="宋体" w:hAnsi="宋体" w:cs="Times New Roman"/>
                <w:bCs/>
                <w:sz w:val="18"/>
                <w:szCs w:val="18"/>
              </w:rPr>
              <w:t>投标人在中国有常驻的专业技术力量的维保机构并具有实施本项目维保的专业技术人员：</w:t>
            </w:r>
          </w:p>
        </w:tc>
        <w:tc>
          <w:tcPr>
            <w:tcW w:w="580" w:type="dxa"/>
            <w:shd w:val="clear" w:color="auto" w:fill="auto"/>
            <w:vAlign w:val="center"/>
          </w:tcPr>
          <w:p w14:paraId="4E243D51">
            <w:pPr>
              <w:spacing w:line="228" w:lineRule="auto"/>
              <w:jc w:val="center"/>
              <w:rPr>
                <w:rFonts w:ascii="宋体" w:hAnsi="宋体" w:cs="Times New Roman"/>
                <w:sz w:val="18"/>
                <w:szCs w:val="18"/>
              </w:rPr>
            </w:pPr>
            <w:r>
              <w:rPr>
                <w:rFonts w:ascii="宋体" w:hAnsi="宋体" w:cs="Times New Roman"/>
                <w:bCs/>
                <w:sz w:val="18"/>
                <w:szCs w:val="18"/>
              </w:rPr>
              <w:t>5</w:t>
            </w:r>
          </w:p>
        </w:tc>
        <w:tc>
          <w:tcPr>
            <w:tcW w:w="8919" w:type="dxa"/>
            <w:shd w:val="clear" w:color="auto" w:fill="auto"/>
            <w:vAlign w:val="center"/>
          </w:tcPr>
          <w:p w14:paraId="35B418BC">
            <w:pPr>
              <w:spacing w:line="228" w:lineRule="auto"/>
              <w:rPr>
                <w:rFonts w:ascii="宋体" w:hAnsi="宋体" w:cs="Times New Roman"/>
                <w:bCs/>
                <w:sz w:val="18"/>
                <w:szCs w:val="18"/>
              </w:rPr>
            </w:pPr>
            <w:r>
              <w:rPr>
                <w:rFonts w:hint="eastAsia" w:ascii="宋体" w:hAnsi="宋体" w:cs="Times New Roman"/>
                <w:bCs/>
                <w:sz w:val="18"/>
                <w:szCs w:val="18"/>
              </w:rPr>
              <w:t>由评标委员会成员独立进行客观、公正的评价，按照优、良、一般进行赋分，最高5分。</w:t>
            </w:r>
          </w:p>
        </w:tc>
      </w:tr>
      <w:tr w14:paraId="079AF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2D4C12E6">
            <w:pPr>
              <w:spacing w:line="228" w:lineRule="auto"/>
              <w:jc w:val="center"/>
              <w:rPr>
                <w:rFonts w:ascii="宋体" w:hAnsi="宋体" w:cs="Times New Roman"/>
                <w:sz w:val="18"/>
                <w:szCs w:val="18"/>
              </w:rPr>
            </w:pPr>
          </w:p>
        </w:tc>
        <w:tc>
          <w:tcPr>
            <w:tcW w:w="600" w:type="dxa"/>
            <w:vMerge w:val="continue"/>
            <w:vAlign w:val="center"/>
          </w:tcPr>
          <w:p w14:paraId="60E06F5F">
            <w:pPr>
              <w:spacing w:line="228" w:lineRule="auto"/>
              <w:jc w:val="center"/>
              <w:rPr>
                <w:rFonts w:ascii="宋体" w:hAnsi="宋体" w:cs="Times New Roman"/>
                <w:sz w:val="18"/>
                <w:szCs w:val="18"/>
              </w:rPr>
            </w:pPr>
          </w:p>
        </w:tc>
        <w:tc>
          <w:tcPr>
            <w:tcW w:w="603" w:type="dxa"/>
            <w:vAlign w:val="center"/>
          </w:tcPr>
          <w:p w14:paraId="427830D9">
            <w:pPr>
              <w:spacing w:line="228" w:lineRule="auto"/>
              <w:jc w:val="center"/>
              <w:rPr>
                <w:rFonts w:ascii="宋体" w:hAnsi="宋体" w:cs="Times New Roman"/>
                <w:sz w:val="18"/>
                <w:szCs w:val="18"/>
              </w:rPr>
            </w:pPr>
            <w:r>
              <w:rPr>
                <w:rFonts w:ascii="宋体" w:hAnsi="宋体" w:cs="Times New Roman"/>
                <w:sz w:val="18"/>
                <w:szCs w:val="18"/>
              </w:rPr>
              <w:t>8</w:t>
            </w:r>
          </w:p>
        </w:tc>
        <w:tc>
          <w:tcPr>
            <w:tcW w:w="2757" w:type="dxa"/>
            <w:vAlign w:val="center"/>
          </w:tcPr>
          <w:p w14:paraId="79F9230F">
            <w:pPr>
              <w:spacing w:line="228" w:lineRule="auto"/>
              <w:rPr>
                <w:rFonts w:ascii="宋体" w:hAnsi="宋体" w:cs="Times New Roman"/>
                <w:sz w:val="18"/>
                <w:szCs w:val="18"/>
              </w:rPr>
            </w:pPr>
            <w:r>
              <w:rPr>
                <w:rFonts w:hint="eastAsia" w:ascii="宋体" w:hAnsi="宋体" w:cs="Times New Roman"/>
                <w:sz w:val="18"/>
                <w:szCs w:val="18"/>
              </w:rPr>
              <w:t>售后服务及时周到，有相应的服务承诺和具体的保证措施</w:t>
            </w:r>
          </w:p>
        </w:tc>
        <w:tc>
          <w:tcPr>
            <w:tcW w:w="580" w:type="dxa"/>
            <w:vAlign w:val="center"/>
          </w:tcPr>
          <w:p w14:paraId="08DC373A">
            <w:pPr>
              <w:spacing w:line="228" w:lineRule="auto"/>
              <w:jc w:val="center"/>
              <w:rPr>
                <w:rFonts w:ascii="宋体" w:hAnsi="宋体" w:cs="Times New Roman"/>
                <w:sz w:val="18"/>
                <w:szCs w:val="18"/>
              </w:rPr>
            </w:pPr>
            <w:r>
              <w:rPr>
                <w:rFonts w:hint="eastAsia" w:ascii="宋体" w:hAnsi="宋体" w:cs="Times New Roman"/>
                <w:sz w:val="18"/>
                <w:szCs w:val="18"/>
              </w:rPr>
              <w:t>5</w:t>
            </w:r>
          </w:p>
        </w:tc>
        <w:tc>
          <w:tcPr>
            <w:tcW w:w="8919" w:type="dxa"/>
            <w:vAlign w:val="center"/>
          </w:tcPr>
          <w:p w14:paraId="2A8467A6">
            <w:pPr>
              <w:spacing w:line="228" w:lineRule="auto"/>
              <w:rPr>
                <w:rFonts w:ascii="宋体" w:hAnsi="宋体" w:cs="Times New Roman"/>
                <w:bCs/>
                <w:sz w:val="18"/>
                <w:szCs w:val="18"/>
              </w:rPr>
            </w:pPr>
            <w:r>
              <w:rPr>
                <w:rFonts w:hint="eastAsia" w:ascii="宋体" w:hAnsi="宋体" w:cs="Times New Roman"/>
                <w:bCs/>
                <w:sz w:val="18"/>
                <w:szCs w:val="18"/>
              </w:rPr>
              <w:t>由评标委员会成员独立进行客观、公正的评价，按照优、良、一般进行赋分，最高</w:t>
            </w:r>
            <w:r>
              <w:rPr>
                <w:rFonts w:ascii="宋体" w:hAnsi="宋体" w:cs="Times New Roman"/>
                <w:bCs/>
                <w:sz w:val="18"/>
                <w:szCs w:val="18"/>
              </w:rPr>
              <w:t>5</w:t>
            </w:r>
            <w:r>
              <w:rPr>
                <w:rFonts w:hint="eastAsia" w:ascii="宋体" w:hAnsi="宋体" w:cs="Times New Roman"/>
                <w:bCs/>
                <w:sz w:val="18"/>
                <w:szCs w:val="18"/>
              </w:rPr>
              <w:t>分。</w:t>
            </w:r>
          </w:p>
        </w:tc>
      </w:tr>
    </w:tbl>
    <w:p w14:paraId="5EDBCF9E">
      <w:pPr>
        <w:pStyle w:val="2"/>
      </w:pPr>
    </w:p>
    <w:p w14:paraId="29157ED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7331C59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3122AA8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37B62F1">
      <w:pPr>
        <w:ind w:firstLine="480" w:firstLineChars="200"/>
        <w:rPr>
          <w:rFonts w:ascii="宋体" w:hAnsi="宋体" w:eastAsia="宋体" w:cs="宋体"/>
          <w:color w:val="000000"/>
          <w:sz w:val="24"/>
          <w:szCs w:val="24"/>
        </w:rPr>
        <w:sectPr>
          <w:headerReference r:id="rId42" w:type="first"/>
          <w:footerReference r:id="rId44" w:type="first"/>
          <w:headerReference r:id="rId41" w:type="default"/>
          <w:footerReference r:id="rId43" w:type="default"/>
          <w:pgSz w:w="16838" w:h="11906" w:orient="landscape"/>
          <w:pgMar w:top="1418" w:right="1588" w:bottom="1418" w:left="1134" w:header="851" w:footer="992" w:gutter="0"/>
          <w:cols w:space="720" w:num="1"/>
          <w:titlePg/>
          <w:docGrid w:type="lines" w:linePitch="312" w:charSpace="0"/>
        </w:sect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p>
    <w:p w14:paraId="137D21B7">
      <w:pPr>
        <w:pStyle w:val="2"/>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56014A0C">
      <w:pPr>
        <w:pStyle w:val="2"/>
        <w:rPr>
          <w:rFonts w:eastAsia="宋体"/>
        </w:rPr>
      </w:pPr>
    </w:p>
    <w:p w14:paraId="1115229D">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17CE152">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477EDD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F938FB3">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3"/>
                    <a:stretch>
                      <a:fillRect/>
                    </a:stretch>
                  </pic:blipFill>
                  <pic:spPr>
                    <a:xfrm>
                      <a:off x="0" y="0"/>
                      <a:ext cx="5760085" cy="2933377"/>
                    </a:xfrm>
                    <a:prstGeom prst="rect">
                      <a:avLst/>
                    </a:prstGeom>
                  </pic:spPr>
                </pic:pic>
              </a:graphicData>
            </a:graphic>
          </wp:inline>
        </w:drawing>
      </w:r>
    </w:p>
    <w:p w14:paraId="5F36E732">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11A79937">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4"/>
                    <a:stretch>
                      <a:fillRect/>
                    </a:stretch>
                  </pic:blipFill>
                  <pic:spPr>
                    <a:xfrm>
                      <a:off x="0" y="0"/>
                      <a:ext cx="5760085" cy="2766707"/>
                    </a:xfrm>
                    <a:prstGeom prst="rect">
                      <a:avLst/>
                    </a:prstGeom>
                  </pic:spPr>
                </pic:pic>
              </a:graphicData>
            </a:graphic>
          </wp:inline>
        </w:drawing>
      </w:r>
    </w:p>
    <w:p w14:paraId="7AA0498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9B964FC">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5"/>
                    <a:stretch>
                      <a:fillRect/>
                    </a:stretch>
                  </pic:blipFill>
                  <pic:spPr>
                    <a:xfrm>
                      <a:off x="0" y="0"/>
                      <a:ext cx="5760085" cy="2870054"/>
                    </a:xfrm>
                    <a:prstGeom prst="rect">
                      <a:avLst/>
                    </a:prstGeom>
                  </pic:spPr>
                </pic:pic>
              </a:graphicData>
            </a:graphic>
          </wp:inline>
        </w:drawing>
      </w:r>
    </w:p>
    <w:p w14:paraId="04F1FA5C">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A783851">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6"/>
                    <a:stretch>
                      <a:fillRect/>
                    </a:stretch>
                  </pic:blipFill>
                  <pic:spPr>
                    <a:xfrm>
                      <a:off x="0" y="0"/>
                      <a:ext cx="5760085" cy="2853375"/>
                    </a:xfrm>
                    <a:prstGeom prst="rect">
                      <a:avLst/>
                    </a:prstGeom>
                  </pic:spPr>
                </pic:pic>
              </a:graphicData>
            </a:graphic>
          </wp:inline>
        </w:drawing>
      </w:r>
    </w:p>
    <w:p w14:paraId="7303442B">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D8F4155">
      <w:pPr>
        <w:pStyle w:val="2"/>
      </w:pPr>
    </w:p>
    <w:p w14:paraId="0EBDB0CD">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7"/>
                    <a:stretch>
                      <a:fillRect/>
                    </a:stretch>
                  </pic:blipFill>
                  <pic:spPr>
                    <a:xfrm>
                      <a:off x="0" y="0"/>
                      <a:ext cx="5760085" cy="2810122"/>
                    </a:xfrm>
                    <a:prstGeom prst="rect">
                      <a:avLst/>
                    </a:prstGeom>
                  </pic:spPr>
                </pic:pic>
              </a:graphicData>
            </a:graphic>
          </wp:inline>
        </w:drawing>
      </w:r>
    </w:p>
    <w:p w14:paraId="363489E0">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8"/>
                    <a:stretch>
                      <a:fillRect/>
                    </a:stretch>
                  </pic:blipFill>
                  <pic:spPr>
                    <a:xfrm>
                      <a:off x="0" y="0"/>
                      <a:ext cx="5760085" cy="2820042"/>
                    </a:xfrm>
                    <a:prstGeom prst="rect">
                      <a:avLst/>
                    </a:prstGeom>
                  </pic:spPr>
                </pic:pic>
              </a:graphicData>
            </a:graphic>
          </wp:inline>
        </w:drawing>
      </w:r>
    </w:p>
    <w:p w14:paraId="3C783FE1">
      <w:pPr>
        <w:pStyle w:val="2"/>
      </w:pPr>
    </w:p>
    <w:p w14:paraId="3BA179C8">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F78F365">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EC572B2">
      <w:pPr>
        <w:pStyle w:val="2"/>
      </w:pPr>
      <w:r>
        <w:rPr>
          <w:rFonts w:hint="eastAsia" w:hAnsi="宋体" w:eastAsia="宋体" w:cs="宋体"/>
          <w:b/>
          <w:bCs/>
          <w:color w:val="000000"/>
          <w:sz w:val="24"/>
          <w:szCs w:val="28"/>
          <w:highlight w:val="yellow"/>
        </w:rPr>
        <w:t>2.配套能力“供货类别”填“</w:t>
      </w:r>
      <w:r>
        <w:rPr>
          <w:rFonts w:hint="eastAsia" w:hAnsi="宋体" w:eastAsia="宋体" w:cs="宋体"/>
          <w:b/>
          <w:bCs/>
          <w:color w:val="000000"/>
          <w:sz w:val="24"/>
          <w:szCs w:val="28"/>
          <w:highlight w:val="yellow"/>
          <w:lang w:val="en-US" w:eastAsia="zh-CN"/>
        </w:rPr>
        <w:t>研发试验类设备</w:t>
      </w:r>
      <w:r>
        <w:rPr>
          <w:rFonts w:hint="eastAsia" w:hAnsi="宋体" w:eastAsia="宋体" w:cs="宋体"/>
          <w:b/>
          <w:bCs/>
          <w:color w:val="000000"/>
          <w:sz w:val="24"/>
          <w:szCs w:val="28"/>
          <w:highlight w:val="yellow"/>
        </w:rPr>
        <w:t>”，业务主管部门选择“产品试验检测中心”。</w:t>
      </w:r>
    </w:p>
    <w:p w14:paraId="38EB4494">
      <w:pPr>
        <w:pStyle w:val="2"/>
        <w:sectPr>
          <w:pgSz w:w="11906" w:h="16838"/>
          <w:pgMar w:top="1588" w:right="1418" w:bottom="1134" w:left="1418" w:header="851" w:footer="992" w:gutter="0"/>
          <w:cols w:space="720" w:num="1"/>
          <w:titlePg/>
          <w:docGrid w:type="lines" w:linePitch="312" w:charSpace="0"/>
        </w:sectPr>
      </w:pPr>
    </w:p>
    <w:p w14:paraId="2F814DE4">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2960143A">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3"/>
          <w:rFonts w:hint="eastAsia" w:ascii="宋体" w:hAnsi="宋体" w:eastAsia="宋体" w:cs="宋体"/>
          <w:sz w:val="24"/>
          <w:szCs w:val="24"/>
        </w:rPr>
        <w:t>https://ecaitong.sinotruk.com:8012/</w:t>
      </w:r>
      <w:r>
        <w:rPr>
          <w:rStyle w:val="53"/>
          <w:rFonts w:hint="eastAsia" w:ascii="宋体" w:hAnsi="宋体" w:eastAsia="宋体" w:cs="宋体"/>
          <w:sz w:val="24"/>
          <w:szCs w:val="24"/>
        </w:rPr>
        <w:fldChar w:fldCharType="end"/>
      </w:r>
    </w:p>
    <w:p w14:paraId="6B51B372">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5FBD889C">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2764CCD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5872C6C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AD4FE28">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9CE72AF">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9"/>
                    <a:stretch>
                      <a:fillRect/>
                    </a:stretch>
                  </pic:blipFill>
                  <pic:spPr>
                    <a:xfrm>
                      <a:off x="0" y="0"/>
                      <a:ext cx="5760085" cy="2269864"/>
                    </a:xfrm>
                    <a:prstGeom prst="rect">
                      <a:avLst/>
                    </a:prstGeom>
                  </pic:spPr>
                </pic:pic>
              </a:graphicData>
            </a:graphic>
          </wp:inline>
        </w:drawing>
      </w:r>
    </w:p>
    <w:p w14:paraId="0EF93E7E"/>
    <w:p w14:paraId="43B1E8A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1D4664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DB487F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60"/>
                    <a:stretch>
                      <a:fillRect/>
                    </a:stretch>
                  </pic:blipFill>
                  <pic:spPr>
                    <a:xfrm>
                      <a:off x="0" y="0"/>
                      <a:ext cx="5760085" cy="2125673"/>
                    </a:xfrm>
                    <a:prstGeom prst="rect">
                      <a:avLst/>
                    </a:prstGeom>
                  </pic:spPr>
                </pic:pic>
              </a:graphicData>
            </a:graphic>
          </wp:inline>
        </w:drawing>
      </w:r>
    </w:p>
    <w:p w14:paraId="6EADBF8B">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851B382">
      <w:pPr>
        <w:pStyle w:val="2"/>
      </w:pPr>
      <w:r>
        <w:rPr>
          <w:rFonts w:hint="eastAsia" w:hAnsi="宋体" w:eastAsia="宋体" w:cs="宋体"/>
          <w:color w:val="000000"/>
          <w:sz w:val="24"/>
          <w:szCs w:val="28"/>
          <w:highlight w:val="yellow"/>
        </w:rPr>
        <w:t>注意：系统内的投标报价单位为“万元”，如开标现场发现填错报价，即直接淘汰。</w:t>
      </w:r>
    </w:p>
    <w:p w14:paraId="28040CAC">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61"/>
                    <a:stretch>
                      <a:fillRect/>
                    </a:stretch>
                  </pic:blipFill>
                  <pic:spPr>
                    <a:xfrm>
                      <a:off x="0" y="0"/>
                      <a:ext cx="5490210" cy="2669498"/>
                    </a:xfrm>
                    <a:prstGeom prst="rect">
                      <a:avLst/>
                    </a:prstGeom>
                  </pic:spPr>
                </pic:pic>
              </a:graphicData>
            </a:graphic>
          </wp:inline>
        </w:drawing>
      </w:r>
    </w:p>
    <w:p w14:paraId="3166988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51F2AAC1">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5E226D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CD9D0EE">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62"/>
                    <a:stretch>
                      <a:fillRect/>
                    </a:stretch>
                  </pic:blipFill>
                  <pic:spPr>
                    <a:xfrm>
                      <a:off x="0" y="0"/>
                      <a:ext cx="5490210" cy="1992743"/>
                    </a:xfrm>
                    <a:prstGeom prst="rect">
                      <a:avLst/>
                    </a:prstGeom>
                  </pic:spPr>
                </pic:pic>
              </a:graphicData>
            </a:graphic>
          </wp:inline>
        </w:drawing>
      </w:r>
    </w:p>
    <w:p w14:paraId="5FDEDCB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5BB2131">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94DFB17">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6AE4B0A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50C4A3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3EA7FACC">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607CFE7">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63"/>
                    <a:stretch>
                      <a:fillRect/>
                    </a:stretch>
                  </pic:blipFill>
                  <pic:spPr>
                    <a:xfrm>
                      <a:off x="0" y="0"/>
                      <a:ext cx="5490210" cy="2544669"/>
                    </a:xfrm>
                    <a:prstGeom prst="rect">
                      <a:avLst/>
                    </a:prstGeom>
                  </pic:spPr>
                </pic:pic>
              </a:graphicData>
            </a:graphic>
          </wp:inline>
        </w:drawing>
      </w:r>
    </w:p>
    <w:p w14:paraId="49D273A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5A55980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09EF6681">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42F24F5F">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4"/>
                    <a:stretch>
                      <a:fillRect/>
                    </a:stretch>
                  </pic:blipFill>
                  <pic:spPr>
                    <a:xfrm>
                      <a:off x="0" y="0"/>
                      <a:ext cx="5760085" cy="1956600"/>
                    </a:xfrm>
                    <a:prstGeom prst="rect">
                      <a:avLst/>
                    </a:prstGeom>
                  </pic:spPr>
                </pic:pic>
              </a:graphicData>
            </a:graphic>
          </wp:inline>
        </w:drawing>
      </w:r>
    </w:p>
    <w:p w14:paraId="040D2265">
      <w:pPr>
        <w:pStyle w:val="2"/>
        <w:rPr>
          <w:rFonts w:hAnsi="宋体" w:eastAsia="宋体" w:cs="Times New Roman"/>
          <w:b/>
          <w:color w:val="000000"/>
          <w:sz w:val="24"/>
          <w:szCs w:val="24"/>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D3629">
    <w:pPr>
      <w:pStyle w:val="2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9FAB3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149FAB3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AED23">
    <w:pPr>
      <w:pStyle w:val="2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702036">
                          <w:pPr>
                            <w:pStyle w:val="29"/>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55702036">
                    <w:pPr>
                      <w:pStyle w:val="29"/>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7BAA7">
    <w:pPr>
      <w:pStyle w:val="29"/>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946087">
                          <w:pPr>
                            <w:pStyle w:val="29"/>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6946087">
                    <w:pPr>
                      <w:pStyle w:val="29"/>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731AE">
    <w:pPr>
      <w:pStyle w:val="29"/>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7FD44B">
                          <w:pPr>
                            <w:pStyle w:val="29"/>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7C7FD44B">
                    <w:pPr>
                      <w:pStyle w:val="29"/>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EA850">
    <w:pPr>
      <w:pStyle w:val="29"/>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B95E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7AB95E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7A23A">
    <w:pPr>
      <w:pStyle w:val="29"/>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D4C7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2D4C7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795D7">
    <w:pPr>
      <w:pStyle w:val="29"/>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B66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FB66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B8F4B">
    <w:pPr>
      <w:pStyle w:val="29"/>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E869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9E8696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36479">
    <w:pPr>
      <w:pStyle w:val="29"/>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B903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2EB903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9675D">
    <w:pPr>
      <w:pStyle w:val="29"/>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5F77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F5F779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D48CC">
    <w:pPr>
      <w:pStyle w:val="29"/>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99045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7D99045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927A5">
    <w:pPr>
      <w:pStyle w:val="29"/>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5D14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25D14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A198A">
    <w:pPr>
      <w:pStyle w:val="29"/>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D2E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3CFD2EF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2B6302">
    <w:pPr>
      <w:spacing w:line="182" w:lineRule="auto"/>
      <w:ind w:left="6866"/>
      <w:rPr>
        <w:rFonts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C0E1F">
    <w:pPr>
      <w:pStyle w:val="29"/>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7CC5C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3B7CC5C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C77A3">
    <w:pPr>
      <w:pStyle w:val="29"/>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46E1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B46E1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5D80E">
    <w:pPr>
      <w:spacing w:line="182" w:lineRule="auto"/>
      <w:ind w:left="6866"/>
      <w:rPr>
        <w:rFonts w:ascii="宋体" w:hAnsi="宋体" w:eastAsia="宋体" w:cs="宋体"/>
        <w:sz w:val="18"/>
        <w:szCs w:val="1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ABCBD">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04DC5">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EAE4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7C01F">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B63B0">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F98D96">
                          <w:pPr>
                            <w:pStyle w:val="29"/>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5AF98D96">
                    <w:pPr>
                      <w:pStyle w:val="29"/>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1953C2">
    <w:pPr>
      <w:pStyle w:val="29"/>
      <w:tabs>
        <w:tab w:val="clear" w:pos="4153"/>
      </w:tabs>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CC8587">
                          <w:pPr>
                            <w:pStyle w:val="2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8CC8587">
                    <w:pPr>
                      <w:pStyle w:val="2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F630C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B556D2">
                          <w:pPr>
                            <w:pStyle w:val="29"/>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12B556D2">
                    <w:pPr>
                      <w:pStyle w:val="29"/>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126F9">
    <w:pPr>
      <w:pStyle w:val="29"/>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9E8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719E8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24C9A">
    <w:pPr>
      <w:pStyle w:val="29"/>
      <w:jc w:val="center"/>
    </w:pPr>
    <w: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EEE41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1EEE41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8A4987">
    <w:pPr>
      <w:pStyle w:val="29"/>
      <w:jc w:val="cente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7030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E7030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BC988">
    <w:pPr>
      <w:pStyle w:val="2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F6436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AF6436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C3049">
    <w:pPr>
      <w:ind w:left="482" w:firstLine="482"/>
      <w:jc w:val="center"/>
      <w:rPr>
        <w:b/>
        <w:bCs/>
      </w:rPr>
    </w:pPr>
    <w:r>
      <w:rPr>
        <w:b/>
        <w:bCs/>
        <w:lang w:val="zh-CN"/>
      </w:rPr>
      <w:t xml:space="preserve"> </w:t>
    </w:r>
    <w:r>
      <w:rPr>
        <w:b/>
        <w:bCs/>
      </w:rPr>
      <w:fldChar w:fldCharType="begin"/>
    </w:r>
    <w:r>
      <w:rPr>
        <w:b/>
        <w:bCs/>
      </w:rPr>
      <w:instrText xml:space="preserve">PAGE</w:instrText>
    </w:r>
    <w:r>
      <w:rPr>
        <w:b/>
        <w:bCs/>
      </w:rPr>
      <w:fldChar w:fldCharType="separate"/>
    </w:r>
    <w:r>
      <w:rPr>
        <w:b/>
        <w:bCs/>
        <w:lang w:val="zh-CN"/>
      </w:rPr>
      <w:t>2</w:t>
    </w:r>
    <w:r>
      <w:rPr>
        <w:b/>
        <w:bCs/>
        <w:lang w:val="zh-CN"/>
      </w:rPr>
      <w:fldChar w:fldCharType="end"/>
    </w:r>
    <w:r>
      <w:rPr>
        <w:b/>
        <w:bCs/>
        <w:lang w:val="zh-CN"/>
      </w:rPr>
      <w:t xml:space="preserve"> / </w:t>
    </w:r>
    <w:r>
      <w:rPr>
        <w:rFonts w:hint="eastAsia"/>
        <w:b/>
        <w:bCs/>
      </w:rPr>
      <w:t>50</w:t>
    </w:r>
  </w:p>
  <w:p w14:paraId="57B0FCB1">
    <w:pPr>
      <w:ind w:left="480" w:firstLine="480"/>
    </w:pPr>
  </w:p>
  <w:p w14:paraId="0D95E05E">
    <w:pPr>
      <w:ind w:firstLine="48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EB457">
    <w:pPr>
      <w:pStyle w:val="29"/>
      <w:ind w:firstLine="360"/>
    </w:pPr>
    <w:r>
      <mc:AlternateContent>
        <mc:Choice Requires="wps">
          <w:drawing>
            <wp:anchor distT="0" distB="0" distL="114300" distR="114300" simplePos="0" relativeHeight="251726848" behindDoc="0" locked="0" layoutInCell="1" allowOverlap="1">
              <wp:simplePos x="0" y="0"/>
              <wp:positionH relativeFrom="margin">
                <wp:align>center</wp:align>
              </wp:positionH>
              <wp:positionV relativeFrom="paragraph">
                <wp:posOffset>0</wp:posOffset>
              </wp:positionV>
              <wp:extent cx="1828800" cy="1828800"/>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E4D4310">
                          <w:pPr>
                            <w:pStyle w:val="29"/>
                            <w:ind w:firstLine="360"/>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268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NAJTE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0AlMTICAABlBAAADgAAAAAAAAABACAAAAAfAQAAZHJzL2Uyb0RvYy54bWxQSwUG&#10;AAAAAAYABgBZAQAAwwUAAAAA&#10;">
              <v:fill on="f" focussize="0,0"/>
              <v:stroke on="f" weight="0.5pt"/>
              <v:imagedata o:title=""/>
              <o:lock v:ext="edit" aspectratio="f"/>
              <v:textbox inset="0mm,0mm,0mm,0mm" style="mso-fit-shape-to-text:t;">
                <w:txbxContent>
                  <w:p w14:paraId="5E4D4310">
                    <w:pPr>
                      <w:pStyle w:val="29"/>
                      <w:ind w:firstLine="360"/>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D8D96">
    <w:pPr>
      <w:pStyle w:val="29"/>
      <w:ind w:firstLine="360"/>
      <w:jc w:val="center"/>
    </w:pPr>
    <w:r>
      <mc:AlternateContent>
        <mc:Choice Requires="wps">
          <w:drawing>
            <wp:anchor distT="0" distB="0" distL="114300" distR="114300" simplePos="0" relativeHeight="2517278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4A64116">
                          <w:pPr>
                            <w:pStyle w:val="29"/>
                            <w:ind w:firstLine="36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7278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yalnKzICAABlBAAADgAAAAAAAAABACAAAAAfAQAAZHJzL2Uyb0RvYy54bWxQSwUG&#10;AAAAAAYABgBZAQAAwwUAAAAA&#10;">
              <v:fill on="f" focussize="0,0"/>
              <v:stroke on="f" weight="0.5pt"/>
              <v:imagedata o:title=""/>
              <o:lock v:ext="edit" aspectratio="f"/>
              <v:textbox inset="0mm,0mm,0mm,0mm" style="mso-fit-shape-to-text:t;">
                <w:txbxContent>
                  <w:p w14:paraId="34A64116">
                    <w:pPr>
                      <w:pStyle w:val="29"/>
                      <w:ind w:firstLine="360"/>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C1E0C">
    <w:pPr>
      <w:pStyle w:val="2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58ECC1">
                          <w:pPr>
                            <w:pStyle w:val="29"/>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14:paraId="6958ECC1">
                    <w:pPr>
                      <w:pStyle w:val="29"/>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09C28">
    <w:pPr>
      <w:pStyle w:val="29"/>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120F85">
                          <w:pPr>
                            <w:pStyle w:val="29"/>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67120F85">
                    <w:pPr>
                      <w:pStyle w:val="29"/>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E0EC1A">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49F65">
    <w:pPr>
      <w:pStyle w:val="3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5AB42">
    <w:pPr>
      <w:pStyle w:val="30"/>
      <w:pBdr>
        <w:bottom w:val="none" w:color="auto" w:sz="0" w:space="0"/>
      </w:pBdr>
    </w:pPr>
    <w:r>
      <w:pict>
        <v:shape id="PowerPlusWaterMarkObject9043044" o:spid="_x0000_s3073" o:spt="136" type="#_x0000_t136" style="position:absolute;left:0pt;margin-left:472.35pt;margin-top:400.05pt;height:14pt;width:129pt;mso-position-horizontal-relative:margin;mso-position-vertical-relative:margin;rotation:-2949120f;z-index:-251619328;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8089202" o:spid="_x0000_s3074" o:spt="136" type="#_x0000_t136" style="position:absolute;left:0pt;margin-left:359.95pt;margin-top:512.5pt;height:14pt;width:129pt;mso-position-horizontal-relative:margin;mso-position-vertical-relative:margin;rotation:-2949120f;z-index:-251620352;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7149450" o:spid="_x0000_s3075" o:spt="136" type="#_x0000_t136" style="position:absolute;left:0pt;margin-left:247.5pt;margin-top:624.95pt;height:14pt;width:129pt;mso-position-horizontal-relative:margin;mso-position-vertical-relative:margin;rotation:-2949120f;z-index:-251621376;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6412293" o:spid="_x0000_s3076" o:spt="136" type="#_x0000_t136" style="position:absolute;left:0pt;margin-left:135.05pt;margin-top:737.35pt;height:14pt;width:129pt;mso-position-horizontal-relative:margin;mso-position-vertical-relative:margin;rotation:-2949120f;z-index:-251622400;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5922735" o:spid="_x0000_s3077" o:spt="136" type="#_x0000_t136" style="position:absolute;left:0pt;margin-left:472.35pt;margin-top:40.75pt;height:14pt;width:129pt;mso-position-horizontal-relative:margin;mso-position-vertical-relative:margin;rotation:-2949120f;z-index:-251623424;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5327273" o:spid="_x0000_s3078" o:spt="136" type="#_x0000_t136" style="position:absolute;left:0pt;margin-left:359.95pt;margin-top:153.15pt;height:14pt;width:129pt;mso-position-horizontal-relative:margin;mso-position-vertical-relative:margin;rotation:-2949120f;z-index:-251624448;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4341382" o:spid="_x0000_s3079" o:spt="136" type="#_x0000_t136" style="position:absolute;left:0pt;margin-left:247.5pt;margin-top:265.6pt;height:14pt;width:129pt;mso-position-horizontal-relative:margin;mso-position-vertical-relative:margin;rotation:-2949120f;z-index:-251625472;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3987704" o:spid="_x0000_s3080" o:spt="136" type="#_x0000_t136" style="position:absolute;left:0pt;margin-left:135.05pt;margin-top:378.05pt;height:14pt;width:129pt;mso-position-horizontal-relative:margin;mso-position-vertical-relative:margin;rotation:-2949120f;z-index:-251626496;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3070278" o:spid="_x0000_s3081" o:spt="136" type="#_x0000_t136" style="position:absolute;left:0pt;margin-left:22.65pt;margin-top:490.45pt;height:14pt;width:129pt;mso-position-horizontal-relative:margin;mso-position-vertical-relative:margin;rotation:-2949120f;z-index:-251627520;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2084049" o:spid="_x0000_s3082" o:spt="136" type="#_x0000_t136" style="position:absolute;left:0pt;margin-left:-89.8pt;margin-top:602.9pt;height:14pt;width:129pt;mso-position-horizontal-relative:margin;mso-position-vertical-relative:margin;rotation:-2949120f;z-index:-251628544;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1892867" o:spid="_x0000_s3083" o:spt="136" type="#_x0000_t136" style="position:absolute;left:0pt;margin-left:247.5pt;margin-top:-93.75pt;height:14pt;width:129pt;mso-position-horizontal-relative:margin;mso-position-vertical-relative:margin;rotation:-2949120f;z-index:-251629568;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1054599" o:spid="_x0000_s3084" o:spt="136" type="#_x0000_t136" style="position:absolute;left:0pt;margin-left:135.05pt;margin-top:18.7pt;height:14pt;width:129pt;mso-position-horizontal-relative:margin;mso-position-vertical-relative:margin;rotation:-2949120f;z-index:-251630592;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641384" o:spid="_x0000_s3085" o:spt="136" type="#_x0000_t136" style="position:absolute;left:0pt;margin-left:22.65pt;margin-top:131.1pt;height:14pt;width:129pt;mso-position-horizontal-relative:margin;mso-position-vertical-relative:margin;rotation:-2949120f;z-index:-251631616;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r>
      <w:pict>
        <v:shape id="PowerPlusWaterMarkObject108737" o:spid="_x0000_s3086" o:spt="136" type="#_x0000_t136" style="position:absolute;left:0pt;margin-left:-89.8pt;margin-top:243.55pt;height:14pt;width:129pt;mso-position-horizontal-relative:margin;mso-position-vertical-relative:margin;rotation:-2949120f;z-index:-251632640;mso-width-relative:page;mso-height-relative:page;" fillcolor="#C0C0C0" filled="t" stroked="f" coordsize="21600,21600">
          <v:path/>
          <v:fill on="t" opacity="32768f" focussize="0,0"/>
          <v:stroke on="f"/>
          <v:imagedata o:title=""/>
          <o:lock v:ext="edit" aspectratio="t"/>
          <v:textpath on="t" fitshape="t" fitpath="t" trim="t" xscale="f" string="孔明伟0695472024-06-29" style="font-family:SongTi;font-size:14pt;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76C1E">
    <w:pPr>
      <w:pStyle w:val="30"/>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12532">
    <w:pPr>
      <w:pStyle w:val="30"/>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D2E7B">
    <w:pPr>
      <w:pStyle w:val="30"/>
    </w:pPr>
  </w:p>
  <w:p w14:paraId="5BED52A9">
    <w:pPr>
      <w:pStyle w:val="3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6BC0D">
    <w:pPr>
      <w:pStyle w:val="3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9DAD7">
    <w:pPr>
      <w:pStyle w:val="30"/>
    </w:pPr>
  </w:p>
  <w:p w14:paraId="43038FC1">
    <w:pPr>
      <w:pStyle w:val="30"/>
    </w:pPr>
    <w:r>
      <w:pict>
        <v:shape id="PowerPlusWaterMarkObject74730566" o:spid="_x0000_s3115" o:spt="136" type="#_x0000_t136" style="position:absolute;left:0pt;margin-left:711.4pt;margin-top:169.4pt;height:14pt;width:129pt;mso-position-horizontal-relative:margin;mso-position-vertical-relative:margin;rotation:-2949120f;z-index:-251604992;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4215494" o:spid="_x0000_s3116" o:spt="136" type="#_x0000_t136" style="position:absolute;left:0pt;margin-left:599pt;margin-top:281.85pt;height:14pt;width:129pt;mso-position-horizontal-relative:margin;mso-position-vertical-relative:margin;rotation:-2949120f;z-index:-25160601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3553336" o:spid="_x0000_s3117" o:spt="136" type="#_x0000_t136" style="position:absolute;left:0pt;margin-left:486.55pt;margin-top:394.25pt;height:14pt;width:129pt;mso-position-horizontal-relative:margin;mso-position-vertical-relative:margin;rotation:-2949120f;z-index:-25160704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864606" o:spid="_x0000_s3118" o:spt="136" type="#_x0000_t136" style="position:absolute;left:0pt;margin-left:374.15pt;margin-top:506.7pt;height:14pt;width:129pt;mso-position-horizontal-relative:margin;mso-position-vertical-relative:margin;rotation:-2949120f;z-index:-25160806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828398" o:spid="_x0000_s3119" o:spt="136" type="#_x0000_t136" style="position:absolute;left:0pt;margin-left:599pt;margin-top:-77.45pt;height:14pt;width:129pt;mso-position-horizontal-relative:margin;mso-position-vertical-relative:margin;rotation:-2949120f;z-index:-251609088;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563767" o:spid="_x0000_s3120" o:spt="136" type="#_x0000_t136" style="position:absolute;left:0pt;margin-left:486.55pt;margin-top:34.95pt;height:14pt;width:129pt;mso-position-horizontal-relative:margin;mso-position-vertical-relative:margin;rotation:-2949120f;z-index:-251610112;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386113" o:spid="_x0000_s3121" o:spt="136" type="#_x0000_t136" style="position:absolute;left:0pt;margin-left:374.15pt;margin-top:147.4pt;height:14pt;width:129pt;mso-position-horizontal-relative:margin;mso-position-vertical-relative:margin;rotation:-2949120f;z-index:-25161113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246531" o:spid="_x0000_s3122" o:spt="136" type="#_x0000_t136" style="position:absolute;left:0pt;margin-left:261.7pt;margin-top:259.8pt;height:14pt;width:129pt;mso-position-horizontal-relative:margin;mso-position-vertical-relative:margin;rotation:-2949120f;z-index:-25161216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2155929" o:spid="_x0000_s3123" o:spt="136" type="#_x0000_t136" style="position:absolute;left:0pt;margin-left:149.25pt;margin-top:372.25pt;height:14pt;width:129pt;mso-position-horizontal-relative:margin;mso-position-vertical-relative:margin;rotation:-2949120f;z-index:-25161318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1491388" o:spid="_x0000_s3124" o:spt="136" type="#_x0000_t136" style="position:absolute;left:0pt;margin-left:36.85pt;margin-top:484.7pt;height:14pt;width:129pt;mso-position-horizontal-relative:margin;mso-position-vertical-relative:margin;rotation:-2949120f;z-index:-251614208;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1264145" o:spid="_x0000_s3125" o:spt="136" type="#_x0000_t136" style="position:absolute;left:0pt;margin-left:261.7pt;margin-top:-99.5pt;height:14pt;width:129pt;mso-position-horizontal-relative:margin;mso-position-vertical-relative:margin;rotation:-2949120f;z-index:-251615232;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0749767" o:spid="_x0000_s3126" o:spt="136" type="#_x0000_t136" style="position:absolute;left:0pt;margin-left:149.25pt;margin-top:12.95pt;height:14pt;width:129pt;mso-position-horizontal-relative:margin;mso-position-vertical-relative:margin;rotation:-2949120f;z-index:-25161625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0708251" o:spid="_x0000_s3127" o:spt="136" type="#_x0000_t136" style="position:absolute;left:0pt;margin-left:36.85pt;margin-top:125.4pt;height:14pt;width:129pt;mso-position-horizontal-relative:margin;mso-position-vertical-relative:margin;rotation:-2949120f;z-index:-25161728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69991268" o:spid="_x0000_s3128" o:spt="136" type="#_x0000_t136" style="position:absolute;left:0pt;margin-left:-75.6pt;margin-top:237.8pt;height:14pt;width:129pt;mso-position-horizontal-relative:margin;mso-position-vertical-relative:margin;rotation:-2949120f;z-index:-25161830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BF68B">
    <w:pPr>
      <w:pStyle w:val="30"/>
    </w:pPr>
    <w:r>
      <w:pict>
        <v:shape id="PowerPlusWaterMarkObject81859546" o:spid="_x0000_s3101" o:spt="136" type="#_x0000_t136" style="position:absolute;left:0pt;margin-left:711.4pt;margin-top:169.4pt;height:14pt;width:129pt;mso-position-horizontal-relative:margin;mso-position-vertical-relative:margin;rotation:-2949120f;z-index:-25159065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81748336" o:spid="_x0000_s3102" o:spt="136" type="#_x0000_t136" style="position:absolute;left:0pt;margin-left:599pt;margin-top:281.85pt;height:14pt;width:129pt;mso-position-horizontal-relative:margin;mso-position-vertical-relative:margin;rotation:-2949120f;z-index:-25159168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81194555" o:spid="_x0000_s3103" o:spt="136" type="#_x0000_t136" style="position:absolute;left:0pt;margin-left:486.55pt;margin-top:394.25pt;height:14pt;width:129pt;mso-position-horizontal-relative:margin;mso-position-vertical-relative:margin;rotation:-2949120f;z-index:-25159270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80591529" o:spid="_x0000_s3104" o:spt="136" type="#_x0000_t136" style="position:absolute;left:0pt;margin-left:374.15pt;margin-top:506.7pt;height:14pt;width:129pt;mso-position-horizontal-relative:margin;mso-position-vertical-relative:margin;rotation:-2949120f;z-index:-251593728;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80140105" o:spid="_x0000_s3105" o:spt="136" type="#_x0000_t136" style="position:absolute;left:0pt;margin-left:599pt;margin-top:-77.45pt;height:14pt;width:129pt;mso-position-horizontal-relative:margin;mso-position-vertical-relative:margin;rotation:-2949120f;z-index:-251594752;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9678133" o:spid="_x0000_s3106" o:spt="136" type="#_x0000_t136" style="position:absolute;left:0pt;margin-left:486.55pt;margin-top:34.95pt;height:14pt;width:129pt;mso-position-horizontal-relative:margin;mso-position-vertical-relative:margin;rotation:-2949120f;z-index:-25159577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8815248" o:spid="_x0000_s3107" o:spt="136" type="#_x0000_t136" style="position:absolute;left:0pt;margin-left:374.15pt;margin-top:147.4pt;height:14pt;width:129pt;mso-position-horizontal-relative:margin;mso-position-vertical-relative:margin;rotation:-2949120f;z-index:-25159680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8720005" o:spid="_x0000_s3108" o:spt="136" type="#_x0000_t136" style="position:absolute;left:0pt;margin-left:261.7pt;margin-top:259.8pt;height:14pt;width:129pt;mso-position-horizontal-relative:margin;mso-position-vertical-relative:margin;rotation:-2949120f;z-index:-25159782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8383655" o:spid="_x0000_s3109" o:spt="136" type="#_x0000_t136" style="position:absolute;left:0pt;margin-left:149.25pt;margin-top:372.25pt;height:14pt;width:129pt;mso-position-horizontal-relative:margin;mso-position-vertical-relative:margin;rotation:-2949120f;z-index:-251598848;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7709287" o:spid="_x0000_s3110" o:spt="136" type="#_x0000_t136" style="position:absolute;left:0pt;margin-left:36.85pt;margin-top:484.7pt;height:14pt;width:129pt;mso-position-horizontal-relative:margin;mso-position-vertical-relative:margin;rotation:-2949120f;z-index:-251599872;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7395115" o:spid="_x0000_s3111" o:spt="136" type="#_x0000_t136" style="position:absolute;left:0pt;margin-left:261.7pt;margin-top:-99.5pt;height:14pt;width:129pt;mso-position-horizontal-relative:margin;mso-position-vertical-relative:margin;rotation:-2949120f;z-index:-251600896;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7093838" o:spid="_x0000_s3112" o:spt="136" type="#_x0000_t136" style="position:absolute;left:0pt;margin-left:149.25pt;margin-top:12.95pt;height:14pt;width:129pt;mso-position-horizontal-relative:margin;mso-position-vertical-relative:margin;rotation:-2949120f;z-index:-251601920;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6310596" o:spid="_x0000_s3113" o:spt="136" type="#_x0000_t136" style="position:absolute;left:0pt;margin-left:36.85pt;margin-top:125.4pt;height:14pt;width:129pt;mso-position-horizontal-relative:margin;mso-position-vertical-relative:margin;rotation:-2949120f;z-index:-251602944;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r>
      <w:pict>
        <v:shape id="PowerPlusWaterMarkObject75638810" o:spid="_x0000_s3114" o:spt="136" type="#_x0000_t136" style="position:absolute;left:0pt;margin-left:-75.6pt;margin-top:237.8pt;height:14pt;width:129pt;mso-position-horizontal-relative:margin;mso-position-vertical-relative:margin;rotation:-2949120f;z-index:-251603968;mso-width-relative:page;mso-height-relative:page;" fillcolor="#C0C0C0" filled="t" stroked="f" coordsize="21600,21600">
          <v:path/>
          <v:fill on="t" opacity="32768f" focussize="0,0"/>
          <v:stroke on="f"/>
          <v:imagedata o:title=""/>
          <o:lock v:ext="edit" aspectratio="t"/>
          <v:textpath on="t" fitshape="t" fitpath="t" trim="t" xscale="f" string="赵翊旭0696272024-08-15" style="font-family:SongTi;font-size:1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0BEE034"/>
    <w:multiLevelType w:val="singleLevel"/>
    <w:tmpl w:val="D0BEE034"/>
    <w:lvl w:ilvl="0" w:tentative="0">
      <w:start w:val="1"/>
      <w:numFmt w:val="decimal"/>
      <w:suff w:val="nothing"/>
      <w:lvlText w:val="%1、"/>
      <w:lvlJc w:val="left"/>
      <w:rPr>
        <w:rFonts w:hint="default"/>
        <w:color w:val="000000" w:themeColor="text1"/>
        <w14:textFill>
          <w14:solidFill>
            <w14:schemeClr w14:val="tx1"/>
          </w14:solidFill>
        </w14:textFill>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pStyle w:val="141"/>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1EE3733"/>
    <w:multiLevelType w:val="multilevel"/>
    <w:tmpl w:val="01EE3733"/>
    <w:lvl w:ilvl="0" w:tentative="0">
      <w:start w:val="1"/>
      <w:numFmt w:val="japaneseCounting"/>
      <w:lvlText w:val="第%1节、"/>
      <w:lvlJc w:val="left"/>
      <w:pPr>
        <w:ind w:left="1080" w:hanging="1080"/>
      </w:pPr>
      <w:rPr>
        <w:rFonts w:hint="default"/>
        <w:u w:val="none"/>
      </w:rPr>
    </w:lvl>
    <w:lvl w:ilvl="1" w:tentative="0">
      <w:start w:val="1"/>
      <w:numFmt w:val="lowerLetter"/>
      <w:lvlText w:val="%2)"/>
      <w:lvlJc w:val="left"/>
      <w:pPr>
        <w:ind w:left="840" w:hanging="420"/>
      </w:pPr>
      <w:rPr>
        <w:rFonts w:hint="default"/>
        <w:u w:val="none"/>
      </w:rPr>
    </w:lvl>
    <w:lvl w:ilvl="2" w:tentative="0">
      <w:start w:val="1"/>
      <w:numFmt w:val="lowerRoman"/>
      <w:lvlText w:val="%3."/>
      <w:lvlJc w:val="right"/>
      <w:pPr>
        <w:ind w:left="1260" w:hanging="420"/>
      </w:pPr>
      <w:rPr>
        <w:rFonts w:hint="default"/>
        <w:u w:val="none"/>
      </w:rPr>
    </w:lvl>
    <w:lvl w:ilvl="3" w:tentative="0">
      <w:start w:val="1"/>
      <w:numFmt w:val="decimal"/>
      <w:lvlText w:val="%4."/>
      <w:lvlJc w:val="left"/>
      <w:pPr>
        <w:ind w:left="1680" w:hanging="420"/>
      </w:pPr>
      <w:rPr>
        <w:rFonts w:hint="default"/>
        <w:u w:val="none"/>
      </w:rPr>
    </w:lvl>
    <w:lvl w:ilvl="4" w:tentative="0">
      <w:start w:val="1"/>
      <w:numFmt w:val="lowerLetter"/>
      <w:lvlText w:val="%5)"/>
      <w:lvlJc w:val="left"/>
      <w:pPr>
        <w:ind w:left="2100" w:hanging="420"/>
      </w:pPr>
      <w:rPr>
        <w:rFonts w:hint="default"/>
        <w:u w:val="none"/>
      </w:rPr>
    </w:lvl>
    <w:lvl w:ilvl="5" w:tentative="0">
      <w:start w:val="1"/>
      <w:numFmt w:val="lowerRoman"/>
      <w:lvlText w:val="%6."/>
      <w:lvlJc w:val="right"/>
      <w:pPr>
        <w:ind w:left="2520" w:hanging="420"/>
      </w:pPr>
      <w:rPr>
        <w:rFonts w:hint="default"/>
        <w:u w:val="none"/>
      </w:rPr>
    </w:lvl>
    <w:lvl w:ilvl="6" w:tentative="0">
      <w:start w:val="1"/>
      <w:numFmt w:val="decimal"/>
      <w:lvlText w:val="%7."/>
      <w:lvlJc w:val="left"/>
      <w:pPr>
        <w:ind w:left="2940" w:hanging="420"/>
      </w:pPr>
      <w:rPr>
        <w:rFonts w:hint="default"/>
        <w:u w:val="none"/>
      </w:rPr>
    </w:lvl>
    <w:lvl w:ilvl="7" w:tentative="0">
      <w:start w:val="1"/>
      <w:numFmt w:val="lowerLetter"/>
      <w:lvlText w:val="%8)"/>
      <w:lvlJc w:val="left"/>
      <w:pPr>
        <w:ind w:left="3360" w:hanging="420"/>
      </w:pPr>
      <w:rPr>
        <w:rFonts w:hint="default"/>
        <w:u w:val="none"/>
      </w:rPr>
    </w:lvl>
    <w:lvl w:ilvl="8" w:tentative="0">
      <w:start w:val="1"/>
      <w:numFmt w:val="lowerRoman"/>
      <w:lvlText w:val="%9."/>
      <w:lvlJc w:val="right"/>
      <w:pPr>
        <w:ind w:left="3780" w:hanging="420"/>
      </w:pPr>
      <w:rPr>
        <w:rFonts w:hint="default"/>
        <w:u w:val="none"/>
      </w:rPr>
    </w:lvl>
  </w:abstractNum>
  <w:abstractNum w:abstractNumId="6">
    <w:nsid w:val="08E84CD5"/>
    <w:multiLevelType w:val="multilevel"/>
    <w:tmpl w:val="08E84CD5"/>
    <w:lvl w:ilvl="0" w:tentative="0">
      <w:start w:val="1"/>
      <w:numFmt w:val="decimal"/>
      <w:pStyle w:val="155"/>
      <w:lvlText w:val="%1)"/>
      <w:lvlJc w:val="left"/>
      <w:pPr>
        <w:ind w:left="900" w:hanging="420"/>
      </w:pPr>
      <w:rPr>
        <w:rFonts w:hint="eastAsia"/>
        <w:u w:val="none"/>
      </w:rPr>
    </w:lvl>
    <w:lvl w:ilvl="1" w:tentative="0">
      <w:start w:val="1"/>
      <w:numFmt w:val="bullet"/>
      <w:lvlText w:val=""/>
      <w:lvlJc w:val="left"/>
      <w:pPr>
        <w:ind w:left="1320" w:hanging="420"/>
      </w:pPr>
      <w:rPr>
        <w:rFonts w:hint="default" w:ascii="Wingdings" w:hAnsi="Wingdings" w:eastAsia="宋体"/>
        <w:u w:val="none"/>
      </w:rPr>
    </w:lvl>
    <w:lvl w:ilvl="2" w:tentative="0">
      <w:start w:val="1"/>
      <w:numFmt w:val="bullet"/>
      <w:lvlText w:val=""/>
      <w:lvlJc w:val="left"/>
      <w:pPr>
        <w:ind w:left="1740" w:hanging="420"/>
      </w:pPr>
      <w:rPr>
        <w:rFonts w:hint="default" w:ascii="Wingdings" w:hAnsi="Wingdings" w:eastAsia="宋体"/>
        <w:u w:val="none"/>
      </w:rPr>
    </w:lvl>
    <w:lvl w:ilvl="3" w:tentative="0">
      <w:start w:val="1"/>
      <w:numFmt w:val="bullet"/>
      <w:lvlText w:val=""/>
      <w:lvlJc w:val="left"/>
      <w:pPr>
        <w:ind w:left="2160" w:hanging="420"/>
      </w:pPr>
      <w:rPr>
        <w:rFonts w:hint="default" w:ascii="Wingdings" w:hAnsi="Wingdings" w:eastAsia="宋体"/>
        <w:u w:val="none"/>
      </w:rPr>
    </w:lvl>
    <w:lvl w:ilvl="4" w:tentative="0">
      <w:start w:val="1"/>
      <w:numFmt w:val="bullet"/>
      <w:lvlText w:val=""/>
      <w:lvlJc w:val="left"/>
      <w:pPr>
        <w:ind w:left="2580" w:hanging="420"/>
      </w:pPr>
      <w:rPr>
        <w:rFonts w:hint="default" w:ascii="Wingdings" w:hAnsi="Wingdings" w:eastAsia="宋体"/>
        <w:u w:val="none"/>
      </w:rPr>
    </w:lvl>
    <w:lvl w:ilvl="5" w:tentative="0">
      <w:start w:val="1"/>
      <w:numFmt w:val="bullet"/>
      <w:lvlText w:val=""/>
      <w:lvlJc w:val="left"/>
      <w:pPr>
        <w:ind w:left="3000" w:hanging="420"/>
      </w:pPr>
      <w:rPr>
        <w:rFonts w:hint="default" w:ascii="Wingdings" w:hAnsi="Wingdings" w:eastAsia="宋体"/>
        <w:u w:val="none"/>
      </w:rPr>
    </w:lvl>
    <w:lvl w:ilvl="6" w:tentative="0">
      <w:start w:val="1"/>
      <w:numFmt w:val="bullet"/>
      <w:lvlText w:val=""/>
      <w:lvlJc w:val="left"/>
      <w:pPr>
        <w:ind w:left="3420" w:hanging="420"/>
      </w:pPr>
      <w:rPr>
        <w:rFonts w:hint="default" w:ascii="Wingdings" w:hAnsi="Wingdings" w:eastAsia="宋体"/>
        <w:u w:val="none"/>
      </w:rPr>
    </w:lvl>
    <w:lvl w:ilvl="7" w:tentative="0">
      <w:start w:val="1"/>
      <w:numFmt w:val="bullet"/>
      <w:lvlText w:val=""/>
      <w:lvlJc w:val="left"/>
      <w:pPr>
        <w:ind w:left="3840" w:hanging="420"/>
      </w:pPr>
      <w:rPr>
        <w:rFonts w:hint="default" w:ascii="Wingdings" w:hAnsi="Wingdings" w:eastAsia="宋体"/>
        <w:u w:val="none"/>
      </w:rPr>
    </w:lvl>
    <w:lvl w:ilvl="8" w:tentative="0">
      <w:start w:val="1"/>
      <w:numFmt w:val="bullet"/>
      <w:lvlText w:val=""/>
      <w:lvlJc w:val="left"/>
      <w:pPr>
        <w:ind w:left="4260" w:hanging="420"/>
      </w:pPr>
      <w:rPr>
        <w:rFonts w:hint="default" w:ascii="Wingdings" w:hAnsi="Wingdings" w:eastAsia="宋体"/>
        <w:u w:val="none"/>
      </w:rPr>
    </w:lvl>
  </w:abstractNum>
  <w:abstractNum w:abstractNumId="7">
    <w:nsid w:val="0AEC23D6"/>
    <w:multiLevelType w:val="multilevel"/>
    <w:tmpl w:val="0AEC23D6"/>
    <w:lvl w:ilvl="0" w:tentative="0">
      <w:start w:val="1"/>
      <w:numFmt w:val="japaneseCounting"/>
      <w:lvlText w:val="第%1节、"/>
      <w:lvlJc w:val="left"/>
      <w:pPr>
        <w:ind w:left="1080" w:hanging="1080"/>
      </w:pPr>
      <w:rPr>
        <w:rFonts w:hint="default"/>
        <w:u w:val="none"/>
      </w:rPr>
    </w:lvl>
    <w:lvl w:ilvl="1" w:tentative="0">
      <w:start w:val="1"/>
      <w:numFmt w:val="lowerLetter"/>
      <w:lvlText w:val="%2)"/>
      <w:lvlJc w:val="left"/>
      <w:pPr>
        <w:ind w:left="840" w:hanging="420"/>
      </w:pPr>
      <w:rPr>
        <w:rFonts w:hint="default"/>
        <w:u w:val="none"/>
      </w:rPr>
    </w:lvl>
    <w:lvl w:ilvl="2" w:tentative="0">
      <w:start w:val="1"/>
      <w:numFmt w:val="lowerRoman"/>
      <w:lvlText w:val="%3."/>
      <w:lvlJc w:val="right"/>
      <w:pPr>
        <w:ind w:left="1260" w:hanging="420"/>
      </w:pPr>
      <w:rPr>
        <w:rFonts w:hint="default"/>
        <w:u w:val="none"/>
      </w:rPr>
    </w:lvl>
    <w:lvl w:ilvl="3" w:tentative="0">
      <w:start w:val="1"/>
      <w:numFmt w:val="decimal"/>
      <w:lvlText w:val="%4."/>
      <w:lvlJc w:val="left"/>
      <w:pPr>
        <w:ind w:left="1680" w:hanging="420"/>
      </w:pPr>
      <w:rPr>
        <w:rFonts w:hint="default"/>
        <w:u w:val="none"/>
      </w:rPr>
    </w:lvl>
    <w:lvl w:ilvl="4" w:tentative="0">
      <w:start w:val="1"/>
      <w:numFmt w:val="lowerLetter"/>
      <w:lvlText w:val="%5)"/>
      <w:lvlJc w:val="left"/>
      <w:pPr>
        <w:ind w:left="2100" w:hanging="420"/>
      </w:pPr>
      <w:rPr>
        <w:rFonts w:hint="default"/>
        <w:u w:val="none"/>
      </w:rPr>
    </w:lvl>
    <w:lvl w:ilvl="5" w:tentative="0">
      <w:start w:val="1"/>
      <w:numFmt w:val="lowerRoman"/>
      <w:lvlText w:val="%6."/>
      <w:lvlJc w:val="right"/>
      <w:pPr>
        <w:ind w:left="2520" w:hanging="420"/>
      </w:pPr>
      <w:rPr>
        <w:rFonts w:hint="default"/>
        <w:u w:val="none"/>
      </w:rPr>
    </w:lvl>
    <w:lvl w:ilvl="6" w:tentative="0">
      <w:start w:val="1"/>
      <w:numFmt w:val="decimal"/>
      <w:lvlText w:val="%7."/>
      <w:lvlJc w:val="left"/>
      <w:pPr>
        <w:ind w:left="2940" w:hanging="420"/>
      </w:pPr>
      <w:rPr>
        <w:rFonts w:hint="default"/>
        <w:u w:val="none"/>
      </w:rPr>
    </w:lvl>
    <w:lvl w:ilvl="7" w:tentative="0">
      <w:start w:val="1"/>
      <w:numFmt w:val="lowerLetter"/>
      <w:lvlText w:val="%8)"/>
      <w:lvlJc w:val="left"/>
      <w:pPr>
        <w:ind w:left="3360" w:hanging="420"/>
      </w:pPr>
      <w:rPr>
        <w:rFonts w:hint="default"/>
        <w:u w:val="none"/>
      </w:rPr>
    </w:lvl>
    <w:lvl w:ilvl="8" w:tentative="0">
      <w:start w:val="1"/>
      <w:numFmt w:val="lowerRoman"/>
      <w:lvlText w:val="%9."/>
      <w:lvlJc w:val="right"/>
      <w:pPr>
        <w:ind w:left="3780" w:hanging="420"/>
      </w:pPr>
      <w:rPr>
        <w:rFonts w:hint="default"/>
        <w:u w:val="none"/>
      </w:rPr>
    </w:lvl>
  </w:abstractNum>
  <w:abstractNum w:abstractNumId="8">
    <w:nsid w:val="15BC0574"/>
    <w:multiLevelType w:val="multilevel"/>
    <w:tmpl w:val="15BC0574"/>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76B194F"/>
    <w:multiLevelType w:val="multilevel"/>
    <w:tmpl w:val="176B194F"/>
    <w:lvl w:ilvl="0" w:tentative="0">
      <w:start w:val="1"/>
      <w:numFmt w:val="decimal"/>
      <w:pStyle w:val="161"/>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1C675E3D"/>
    <w:multiLevelType w:val="multilevel"/>
    <w:tmpl w:val="1C675E3D"/>
    <w:lvl w:ilvl="0" w:tentative="0">
      <w:start w:val="1"/>
      <w:numFmt w:val="decimal"/>
      <w:lvlText w:val="%1."/>
      <w:lvlJc w:val="left"/>
      <w:pPr>
        <w:ind w:left="620" w:hanging="420"/>
      </w:pPr>
    </w:lvl>
    <w:lvl w:ilvl="1" w:tentative="0">
      <w:start w:val="1"/>
      <w:numFmt w:val="lowerLetter"/>
      <w:lvlText w:val="%2)"/>
      <w:lvlJc w:val="left"/>
      <w:pPr>
        <w:ind w:left="1040" w:hanging="420"/>
      </w:pPr>
    </w:lvl>
    <w:lvl w:ilvl="2" w:tentative="0">
      <w:start w:val="1"/>
      <w:numFmt w:val="lowerRoman"/>
      <w:lvlText w:val="%3."/>
      <w:lvlJc w:val="right"/>
      <w:pPr>
        <w:ind w:left="1460" w:hanging="420"/>
      </w:pPr>
    </w:lvl>
    <w:lvl w:ilvl="3" w:tentative="0">
      <w:start w:val="1"/>
      <w:numFmt w:val="decimal"/>
      <w:lvlText w:val="%4."/>
      <w:lvlJc w:val="left"/>
      <w:pPr>
        <w:ind w:left="1880" w:hanging="420"/>
      </w:pPr>
    </w:lvl>
    <w:lvl w:ilvl="4" w:tentative="0">
      <w:start w:val="1"/>
      <w:numFmt w:val="lowerLetter"/>
      <w:lvlText w:val="%5)"/>
      <w:lvlJc w:val="left"/>
      <w:pPr>
        <w:ind w:left="2300" w:hanging="420"/>
      </w:pPr>
    </w:lvl>
    <w:lvl w:ilvl="5" w:tentative="0">
      <w:start w:val="1"/>
      <w:numFmt w:val="lowerRoman"/>
      <w:lvlText w:val="%6."/>
      <w:lvlJc w:val="right"/>
      <w:pPr>
        <w:ind w:left="2720" w:hanging="420"/>
      </w:pPr>
    </w:lvl>
    <w:lvl w:ilvl="6" w:tentative="0">
      <w:start w:val="1"/>
      <w:numFmt w:val="decimal"/>
      <w:lvlText w:val="%7."/>
      <w:lvlJc w:val="left"/>
      <w:pPr>
        <w:ind w:left="3140" w:hanging="420"/>
      </w:pPr>
    </w:lvl>
    <w:lvl w:ilvl="7" w:tentative="0">
      <w:start w:val="1"/>
      <w:numFmt w:val="lowerLetter"/>
      <w:lvlText w:val="%8)"/>
      <w:lvlJc w:val="left"/>
      <w:pPr>
        <w:ind w:left="3560" w:hanging="420"/>
      </w:pPr>
    </w:lvl>
    <w:lvl w:ilvl="8" w:tentative="0">
      <w:start w:val="1"/>
      <w:numFmt w:val="lowerRoman"/>
      <w:lvlText w:val="%9."/>
      <w:lvlJc w:val="right"/>
      <w:pPr>
        <w:ind w:left="3980" w:hanging="420"/>
      </w:pPr>
    </w:lvl>
  </w:abstractNum>
  <w:abstractNum w:abstractNumId="11">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2">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3">
    <w:nsid w:val="262C29E8"/>
    <w:multiLevelType w:val="multilevel"/>
    <w:tmpl w:val="262C29E8"/>
    <w:lvl w:ilvl="0" w:tentative="0">
      <w:start w:val="1"/>
      <w:numFmt w:val="lowerLetter"/>
      <w:pStyle w:val="152"/>
      <w:lvlText w:val="%1)"/>
      <w:lvlJc w:val="left"/>
      <w:pPr>
        <w:ind w:left="1741"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bullet"/>
      <w:lvlText w:val=""/>
      <w:lvlJc w:val="left"/>
      <w:pPr>
        <w:ind w:left="1740" w:hanging="420"/>
      </w:pPr>
      <w:rPr>
        <w:rFonts w:hint="default" w:ascii="Wingdings" w:hAnsi="Wingdings" w:eastAsia="宋体"/>
        <w:u w:val="none"/>
      </w:rPr>
    </w:lvl>
    <w:lvl w:ilvl="2" w:tentative="0">
      <w:start w:val="1"/>
      <w:numFmt w:val="bullet"/>
      <w:lvlText w:val=""/>
      <w:lvlJc w:val="left"/>
      <w:pPr>
        <w:ind w:left="2160" w:hanging="420"/>
      </w:pPr>
      <w:rPr>
        <w:rFonts w:hint="default" w:ascii="Wingdings" w:hAnsi="Wingdings" w:eastAsia="宋体"/>
        <w:u w:val="none"/>
      </w:rPr>
    </w:lvl>
    <w:lvl w:ilvl="3" w:tentative="0">
      <w:start w:val="1"/>
      <w:numFmt w:val="bullet"/>
      <w:lvlText w:val=""/>
      <w:lvlJc w:val="left"/>
      <w:pPr>
        <w:ind w:left="2580" w:hanging="420"/>
      </w:pPr>
      <w:rPr>
        <w:rFonts w:hint="default" w:ascii="Wingdings" w:hAnsi="Wingdings" w:eastAsia="宋体"/>
        <w:u w:val="none"/>
      </w:rPr>
    </w:lvl>
    <w:lvl w:ilvl="4" w:tentative="0">
      <w:start w:val="1"/>
      <w:numFmt w:val="bullet"/>
      <w:lvlText w:val=""/>
      <w:lvlJc w:val="left"/>
      <w:pPr>
        <w:ind w:left="3000" w:hanging="420"/>
      </w:pPr>
      <w:rPr>
        <w:rFonts w:hint="default" w:ascii="Wingdings" w:hAnsi="Wingdings" w:eastAsia="宋体"/>
        <w:u w:val="none"/>
      </w:rPr>
    </w:lvl>
    <w:lvl w:ilvl="5" w:tentative="0">
      <w:start w:val="1"/>
      <w:numFmt w:val="bullet"/>
      <w:lvlText w:val=""/>
      <w:lvlJc w:val="left"/>
      <w:pPr>
        <w:ind w:left="3420" w:hanging="420"/>
      </w:pPr>
      <w:rPr>
        <w:rFonts w:hint="default" w:ascii="Wingdings" w:hAnsi="Wingdings" w:eastAsia="宋体"/>
        <w:u w:val="none"/>
      </w:rPr>
    </w:lvl>
    <w:lvl w:ilvl="6" w:tentative="0">
      <w:start w:val="1"/>
      <w:numFmt w:val="bullet"/>
      <w:lvlText w:val=""/>
      <w:lvlJc w:val="left"/>
      <w:pPr>
        <w:ind w:left="3840" w:hanging="420"/>
      </w:pPr>
      <w:rPr>
        <w:rFonts w:hint="default" w:ascii="Wingdings" w:hAnsi="Wingdings" w:eastAsia="宋体"/>
        <w:u w:val="none"/>
      </w:rPr>
    </w:lvl>
    <w:lvl w:ilvl="7" w:tentative="0">
      <w:start w:val="1"/>
      <w:numFmt w:val="bullet"/>
      <w:lvlText w:val=""/>
      <w:lvlJc w:val="left"/>
      <w:pPr>
        <w:ind w:left="4260" w:hanging="420"/>
      </w:pPr>
      <w:rPr>
        <w:rFonts w:hint="default" w:ascii="Wingdings" w:hAnsi="Wingdings" w:eastAsia="宋体"/>
        <w:u w:val="none"/>
      </w:rPr>
    </w:lvl>
    <w:lvl w:ilvl="8" w:tentative="0">
      <w:start w:val="1"/>
      <w:numFmt w:val="bullet"/>
      <w:lvlText w:val=""/>
      <w:lvlJc w:val="left"/>
      <w:pPr>
        <w:ind w:left="4680" w:hanging="420"/>
      </w:pPr>
      <w:rPr>
        <w:rFonts w:hint="default" w:ascii="Wingdings" w:hAnsi="Wingdings" w:eastAsia="宋体"/>
        <w:u w:val="none"/>
      </w:rPr>
    </w:lvl>
  </w:abstractNum>
  <w:abstractNum w:abstractNumId="1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5">
    <w:nsid w:val="31984926"/>
    <w:multiLevelType w:val="multilevel"/>
    <w:tmpl w:val="31984926"/>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32565424"/>
    <w:multiLevelType w:val="multilevel"/>
    <w:tmpl w:val="32565424"/>
    <w:lvl w:ilvl="0" w:tentative="0">
      <w:start w:val="1"/>
      <w:numFmt w:val="chineseCountingThousand"/>
      <w:pStyle w:val="3"/>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36F17D4F"/>
    <w:multiLevelType w:val="multilevel"/>
    <w:tmpl w:val="36F17D4F"/>
    <w:lvl w:ilvl="0" w:tentative="0">
      <w:start w:val="1"/>
      <w:numFmt w:val="decimal"/>
      <w:lvlText w:val="%1."/>
      <w:lvlJc w:val="left"/>
      <w:pPr>
        <w:ind w:left="420" w:hanging="420"/>
      </w:pPr>
    </w:lvl>
    <w:lvl w:ilvl="1" w:tentative="0">
      <w:start w:val="1"/>
      <w:numFmt w:val="decimal"/>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37E46AD5"/>
    <w:multiLevelType w:val="multilevel"/>
    <w:tmpl w:val="37E46AD5"/>
    <w:lvl w:ilvl="0" w:tentative="0">
      <w:start w:val="1"/>
      <w:numFmt w:val="chineseCountingThousand"/>
      <w:pStyle w:val="163"/>
      <w:lvlText w:val="(%1)"/>
      <w:lvlJc w:val="left"/>
      <w:pPr>
        <w:ind w:left="1794" w:hanging="420"/>
      </w:pPr>
    </w:lvl>
    <w:lvl w:ilvl="1" w:tentative="0">
      <w:start w:val="1"/>
      <w:numFmt w:val="lowerLetter"/>
      <w:lvlText w:val="%2)"/>
      <w:lvlJc w:val="left"/>
      <w:pPr>
        <w:ind w:left="2214" w:hanging="420"/>
      </w:pPr>
    </w:lvl>
    <w:lvl w:ilvl="2" w:tentative="0">
      <w:start w:val="1"/>
      <w:numFmt w:val="lowerRoman"/>
      <w:lvlText w:val="%3."/>
      <w:lvlJc w:val="right"/>
      <w:pPr>
        <w:ind w:left="2634" w:hanging="420"/>
      </w:pPr>
    </w:lvl>
    <w:lvl w:ilvl="3" w:tentative="0">
      <w:start w:val="1"/>
      <w:numFmt w:val="decimal"/>
      <w:lvlText w:val="%4."/>
      <w:lvlJc w:val="left"/>
      <w:pPr>
        <w:ind w:left="3054" w:hanging="420"/>
      </w:pPr>
    </w:lvl>
    <w:lvl w:ilvl="4" w:tentative="0">
      <w:start w:val="1"/>
      <w:numFmt w:val="lowerLetter"/>
      <w:lvlText w:val="%5)"/>
      <w:lvlJc w:val="left"/>
      <w:pPr>
        <w:ind w:left="3474" w:hanging="420"/>
      </w:pPr>
    </w:lvl>
    <w:lvl w:ilvl="5" w:tentative="0">
      <w:start w:val="1"/>
      <w:numFmt w:val="lowerRoman"/>
      <w:lvlText w:val="%6."/>
      <w:lvlJc w:val="right"/>
      <w:pPr>
        <w:ind w:left="3894" w:hanging="420"/>
      </w:pPr>
    </w:lvl>
    <w:lvl w:ilvl="6" w:tentative="0">
      <w:start w:val="1"/>
      <w:numFmt w:val="decimal"/>
      <w:lvlText w:val="%7."/>
      <w:lvlJc w:val="left"/>
      <w:pPr>
        <w:ind w:left="4314" w:hanging="420"/>
      </w:pPr>
    </w:lvl>
    <w:lvl w:ilvl="7" w:tentative="0">
      <w:start w:val="1"/>
      <w:numFmt w:val="lowerLetter"/>
      <w:lvlText w:val="%8)"/>
      <w:lvlJc w:val="left"/>
      <w:pPr>
        <w:ind w:left="4734" w:hanging="420"/>
      </w:pPr>
    </w:lvl>
    <w:lvl w:ilvl="8" w:tentative="0">
      <w:start w:val="1"/>
      <w:numFmt w:val="lowerRoman"/>
      <w:lvlText w:val="%9."/>
      <w:lvlJc w:val="right"/>
      <w:pPr>
        <w:ind w:left="5154" w:hanging="420"/>
      </w:pPr>
    </w:lvl>
  </w:abstractNum>
  <w:abstractNum w:abstractNumId="19">
    <w:nsid w:val="3B1317FE"/>
    <w:multiLevelType w:val="multilevel"/>
    <w:tmpl w:val="3B1317FE"/>
    <w:lvl w:ilvl="0" w:tentative="0">
      <w:start w:val="1"/>
      <w:numFmt w:val="decimal"/>
      <w:lvlText w:val="%1."/>
      <w:lvlJc w:val="left"/>
      <w:pPr>
        <w:ind w:left="1140" w:hanging="660"/>
      </w:pPr>
      <w:rPr>
        <w:rFonts w:hint="default"/>
        <w:u w:val="none"/>
      </w:rPr>
    </w:lvl>
    <w:lvl w:ilvl="1" w:tentative="0">
      <w:start w:val="1"/>
      <w:numFmt w:val="lowerLetter"/>
      <w:lvlText w:val="%2)"/>
      <w:lvlJc w:val="left"/>
      <w:pPr>
        <w:ind w:left="1320" w:hanging="420"/>
      </w:pPr>
      <w:rPr>
        <w:rFonts w:hint="default"/>
        <w:u w:val="none"/>
      </w:rPr>
    </w:lvl>
    <w:lvl w:ilvl="2" w:tentative="0">
      <w:start w:val="1"/>
      <w:numFmt w:val="lowerRoman"/>
      <w:lvlText w:val="%3."/>
      <w:lvlJc w:val="right"/>
      <w:pPr>
        <w:ind w:left="1740" w:hanging="420"/>
      </w:pPr>
      <w:rPr>
        <w:rFonts w:hint="default"/>
        <w:u w:val="none"/>
      </w:rPr>
    </w:lvl>
    <w:lvl w:ilvl="3" w:tentative="0">
      <w:start w:val="1"/>
      <w:numFmt w:val="decimal"/>
      <w:lvlText w:val="%4."/>
      <w:lvlJc w:val="left"/>
      <w:pPr>
        <w:ind w:left="2160" w:hanging="420"/>
      </w:pPr>
      <w:rPr>
        <w:rFonts w:hint="default"/>
        <w:u w:val="none"/>
      </w:rPr>
    </w:lvl>
    <w:lvl w:ilvl="4" w:tentative="0">
      <w:start w:val="1"/>
      <w:numFmt w:val="lowerLetter"/>
      <w:lvlText w:val="%5)"/>
      <w:lvlJc w:val="left"/>
      <w:pPr>
        <w:ind w:left="2580" w:hanging="420"/>
      </w:pPr>
      <w:rPr>
        <w:rFonts w:hint="default"/>
        <w:u w:val="none"/>
      </w:rPr>
    </w:lvl>
    <w:lvl w:ilvl="5" w:tentative="0">
      <w:start w:val="1"/>
      <w:numFmt w:val="lowerRoman"/>
      <w:lvlText w:val="%6."/>
      <w:lvlJc w:val="right"/>
      <w:pPr>
        <w:ind w:left="3000" w:hanging="420"/>
      </w:pPr>
      <w:rPr>
        <w:rFonts w:hint="default"/>
        <w:u w:val="none"/>
      </w:rPr>
    </w:lvl>
    <w:lvl w:ilvl="6" w:tentative="0">
      <w:start w:val="1"/>
      <w:numFmt w:val="decimal"/>
      <w:lvlText w:val="%7."/>
      <w:lvlJc w:val="left"/>
      <w:pPr>
        <w:ind w:left="3420" w:hanging="420"/>
      </w:pPr>
      <w:rPr>
        <w:rFonts w:hint="default"/>
        <w:u w:val="none"/>
      </w:rPr>
    </w:lvl>
    <w:lvl w:ilvl="7" w:tentative="0">
      <w:start w:val="1"/>
      <w:numFmt w:val="lowerLetter"/>
      <w:lvlText w:val="%8)"/>
      <w:lvlJc w:val="left"/>
      <w:pPr>
        <w:ind w:left="3840" w:hanging="420"/>
      </w:pPr>
      <w:rPr>
        <w:rFonts w:hint="default"/>
        <w:u w:val="none"/>
      </w:rPr>
    </w:lvl>
    <w:lvl w:ilvl="8" w:tentative="0">
      <w:start w:val="1"/>
      <w:numFmt w:val="lowerRoman"/>
      <w:lvlText w:val="%9."/>
      <w:lvlJc w:val="right"/>
      <w:pPr>
        <w:ind w:left="4260" w:hanging="420"/>
      </w:pPr>
      <w:rPr>
        <w:rFonts w:hint="default"/>
        <w:u w:val="none"/>
      </w:rPr>
    </w:lvl>
  </w:abstractNum>
  <w:abstractNum w:abstractNumId="20">
    <w:nsid w:val="4315B828"/>
    <w:multiLevelType w:val="singleLevel"/>
    <w:tmpl w:val="4315B828"/>
    <w:lvl w:ilvl="0" w:tentative="0">
      <w:start w:val="1"/>
      <w:numFmt w:val="decimal"/>
      <w:suff w:val="nothing"/>
      <w:lvlText w:val="%1．"/>
      <w:lvlJc w:val="left"/>
      <w:pPr>
        <w:ind w:left="0" w:firstLine="400"/>
      </w:pPr>
      <w:rPr>
        <w:rFonts w:hint="default"/>
      </w:rPr>
    </w:lvl>
  </w:abstractNum>
  <w:abstractNum w:abstractNumId="2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22">
    <w:nsid w:val="4CD41338"/>
    <w:multiLevelType w:val="multilevel"/>
    <w:tmpl w:val="4CD41338"/>
    <w:lvl w:ilvl="0" w:tentative="0">
      <w:start w:val="1"/>
      <w:numFmt w:val="japaneseCounting"/>
      <w:lvlText w:val="第%1节、"/>
      <w:lvlJc w:val="left"/>
      <w:pPr>
        <w:ind w:left="1080" w:hanging="1080"/>
      </w:pPr>
      <w:rPr>
        <w:rFonts w:hint="default"/>
        <w:u w:val="none"/>
      </w:rPr>
    </w:lvl>
    <w:lvl w:ilvl="1" w:tentative="0">
      <w:start w:val="1"/>
      <w:numFmt w:val="lowerLetter"/>
      <w:lvlText w:val="%2)"/>
      <w:lvlJc w:val="left"/>
      <w:pPr>
        <w:ind w:left="840" w:hanging="420"/>
      </w:pPr>
      <w:rPr>
        <w:rFonts w:hint="default"/>
        <w:u w:val="none"/>
      </w:rPr>
    </w:lvl>
    <w:lvl w:ilvl="2" w:tentative="0">
      <w:start w:val="1"/>
      <w:numFmt w:val="lowerRoman"/>
      <w:lvlText w:val="%3."/>
      <w:lvlJc w:val="right"/>
      <w:pPr>
        <w:ind w:left="1260" w:hanging="420"/>
      </w:pPr>
      <w:rPr>
        <w:rFonts w:hint="default"/>
        <w:u w:val="none"/>
      </w:rPr>
    </w:lvl>
    <w:lvl w:ilvl="3" w:tentative="0">
      <w:start w:val="1"/>
      <w:numFmt w:val="decimal"/>
      <w:lvlText w:val="%4."/>
      <w:lvlJc w:val="left"/>
      <w:pPr>
        <w:ind w:left="1680" w:hanging="420"/>
      </w:pPr>
      <w:rPr>
        <w:rFonts w:hint="default"/>
        <w:u w:val="none"/>
      </w:rPr>
    </w:lvl>
    <w:lvl w:ilvl="4" w:tentative="0">
      <w:start w:val="1"/>
      <w:numFmt w:val="lowerLetter"/>
      <w:lvlText w:val="%5)"/>
      <w:lvlJc w:val="left"/>
      <w:pPr>
        <w:ind w:left="2100" w:hanging="420"/>
      </w:pPr>
      <w:rPr>
        <w:rFonts w:hint="default"/>
        <w:u w:val="none"/>
      </w:rPr>
    </w:lvl>
    <w:lvl w:ilvl="5" w:tentative="0">
      <w:start w:val="1"/>
      <w:numFmt w:val="lowerRoman"/>
      <w:lvlText w:val="%6."/>
      <w:lvlJc w:val="right"/>
      <w:pPr>
        <w:ind w:left="2520" w:hanging="420"/>
      </w:pPr>
      <w:rPr>
        <w:rFonts w:hint="default"/>
        <w:u w:val="none"/>
      </w:rPr>
    </w:lvl>
    <w:lvl w:ilvl="6" w:tentative="0">
      <w:start w:val="1"/>
      <w:numFmt w:val="decimal"/>
      <w:lvlText w:val="%7."/>
      <w:lvlJc w:val="left"/>
      <w:pPr>
        <w:ind w:left="2940" w:hanging="420"/>
      </w:pPr>
      <w:rPr>
        <w:rFonts w:hint="default"/>
        <w:u w:val="none"/>
      </w:rPr>
    </w:lvl>
    <w:lvl w:ilvl="7" w:tentative="0">
      <w:start w:val="1"/>
      <w:numFmt w:val="lowerLetter"/>
      <w:lvlText w:val="%8)"/>
      <w:lvlJc w:val="left"/>
      <w:pPr>
        <w:ind w:left="3360" w:hanging="420"/>
      </w:pPr>
      <w:rPr>
        <w:rFonts w:hint="default"/>
        <w:u w:val="none"/>
      </w:rPr>
    </w:lvl>
    <w:lvl w:ilvl="8" w:tentative="0">
      <w:start w:val="1"/>
      <w:numFmt w:val="lowerRoman"/>
      <w:lvlText w:val="%9."/>
      <w:lvlJc w:val="right"/>
      <w:pPr>
        <w:ind w:left="3780" w:hanging="420"/>
      </w:pPr>
      <w:rPr>
        <w:rFonts w:hint="default"/>
        <w:u w:val="none"/>
      </w:rPr>
    </w:lvl>
  </w:abstractNum>
  <w:abstractNum w:abstractNumId="23">
    <w:nsid w:val="4FE139B7"/>
    <w:multiLevelType w:val="multilevel"/>
    <w:tmpl w:val="4FE139B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4">
    <w:nsid w:val="5AA81B31"/>
    <w:multiLevelType w:val="multilevel"/>
    <w:tmpl w:val="5AA81B31"/>
    <w:lvl w:ilvl="0" w:tentative="0">
      <w:start w:val="1"/>
      <w:numFmt w:val="chineseCountingThousand"/>
      <w:lvlText w:val="%1、"/>
      <w:lvlJc w:val="left"/>
      <w:pPr>
        <w:ind w:left="198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
    <w:nsid w:val="63AD271F"/>
    <w:multiLevelType w:val="multilevel"/>
    <w:tmpl w:val="63AD271F"/>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6ACF4437"/>
    <w:multiLevelType w:val="multilevel"/>
    <w:tmpl w:val="6ACF4437"/>
    <w:lvl w:ilvl="0" w:tentative="0">
      <w:start w:val="1"/>
      <w:numFmt w:val="decimal"/>
      <w:lvlText w:val="(%1)"/>
      <w:lvlJc w:val="left"/>
      <w:pPr>
        <w:ind w:left="862" w:hanging="720"/>
      </w:pPr>
      <w:rPr>
        <w:rFonts w:hint="eastAsia"/>
      </w:rPr>
    </w:lvl>
    <w:lvl w:ilvl="1" w:tentative="0">
      <w:start w:val="1"/>
      <w:numFmt w:val="lowerLetter"/>
      <w:lvlRestart w:val="0"/>
      <w:lvlText w:val="%2)"/>
      <w:lvlJc w:val="left"/>
      <w:pPr>
        <w:ind w:left="982" w:hanging="420"/>
      </w:pPr>
      <w:rPr>
        <w:rFonts w:cs="Times New Roman"/>
      </w:rPr>
    </w:lvl>
    <w:lvl w:ilvl="2" w:tentative="0">
      <w:start w:val="1"/>
      <w:numFmt w:val="lowerRoman"/>
      <w:lvlRestart w:val="0"/>
      <w:lvlText w:val="%3."/>
      <w:lvlJc w:val="right"/>
      <w:pPr>
        <w:ind w:left="1402" w:hanging="420"/>
      </w:pPr>
      <w:rPr>
        <w:rFonts w:cs="Times New Roman"/>
      </w:rPr>
    </w:lvl>
    <w:lvl w:ilvl="3" w:tentative="0">
      <w:start w:val="1"/>
      <w:numFmt w:val="decimal"/>
      <w:lvlRestart w:val="0"/>
      <w:lvlText w:val="%4."/>
      <w:lvlJc w:val="left"/>
      <w:pPr>
        <w:ind w:left="1822" w:hanging="420"/>
      </w:pPr>
      <w:rPr>
        <w:rFonts w:cs="Times New Roman"/>
      </w:rPr>
    </w:lvl>
    <w:lvl w:ilvl="4" w:tentative="0">
      <w:start w:val="1"/>
      <w:numFmt w:val="lowerLetter"/>
      <w:lvlRestart w:val="0"/>
      <w:lvlText w:val="%5)"/>
      <w:lvlJc w:val="left"/>
      <w:pPr>
        <w:ind w:left="2242" w:hanging="420"/>
      </w:pPr>
      <w:rPr>
        <w:rFonts w:cs="Times New Roman"/>
      </w:rPr>
    </w:lvl>
    <w:lvl w:ilvl="5" w:tentative="0">
      <w:start w:val="1"/>
      <w:numFmt w:val="lowerRoman"/>
      <w:lvlRestart w:val="0"/>
      <w:lvlText w:val="%6."/>
      <w:lvlJc w:val="right"/>
      <w:pPr>
        <w:ind w:left="2662" w:hanging="420"/>
      </w:pPr>
      <w:rPr>
        <w:rFonts w:cs="Times New Roman"/>
      </w:rPr>
    </w:lvl>
    <w:lvl w:ilvl="6" w:tentative="0">
      <w:start w:val="1"/>
      <w:numFmt w:val="decimal"/>
      <w:lvlRestart w:val="0"/>
      <w:lvlText w:val="%7."/>
      <w:lvlJc w:val="left"/>
      <w:pPr>
        <w:ind w:left="3082" w:hanging="420"/>
      </w:pPr>
      <w:rPr>
        <w:rFonts w:cs="Times New Roman"/>
      </w:rPr>
    </w:lvl>
    <w:lvl w:ilvl="7" w:tentative="0">
      <w:start w:val="1"/>
      <w:numFmt w:val="lowerLetter"/>
      <w:lvlRestart w:val="0"/>
      <w:lvlText w:val="%8)"/>
      <w:lvlJc w:val="left"/>
      <w:pPr>
        <w:ind w:left="3502" w:hanging="420"/>
      </w:pPr>
      <w:rPr>
        <w:rFonts w:cs="Times New Roman"/>
      </w:rPr>
    </w:lvl>
    <w:lvl w:ilvl="8" w:tentative="0">
      <w:start w:val="1"/>
      <w:numFmt w:val="lowerRoman"/>
      <w:lvlRestart w:val="0"/>
      <w:lvlText w:val="%9."/>
      <w:lvlJc w:val="right"/>
      <w:pPr>
        <w:ind w:left="3922" w:hanging="420"/>
      </w:pPr>
      <w:rPr>
        <w:rFonts w:cs="Times New Roman"/>
      </w:rPr>
    </w:lvl>
  </w:abstractNum>
  <w:abstractNum w:abstractNumId="27">
    <w:nsid w:val="6E8C6948"/>
    <w:multiLevelType w:val="singleLevel"/>
    <w:tmpl w:val="6E8C6948"/>
    <w:lvl w:ilvl="0" w:tentative="0">
      <w:start w:val="1"/>
      <w:numFmt w:val="chineseCounting"/>
      <w:suff w:val="space"/>
      <w:lvlText w:val="第%1部分"/>
      <w:lvlJc w:val="left"/>
      <w:rPr>
        <w:rFonts w:hint="eastAsia"/>
      </w:rPr>
    </w:lvl>
  </w:abstractNum>
  <w:abstractNum w:abstractNumId="28">
    <w:nsid w:val="7A612DE2"/>
    <w:multiLevelType w:val="singleLevel"/>
    <w:tmpl w:val="7A612DE2"/>
    <w:lvl w:ilvl="0" w:tentative="0">
      <w:start w:val="2"/>
      <w:numFmt w:val="decimal"/>
      <w:lvlText w:val="%1."/>
      <w:lvlJc w:val="left"/>
      <w:pPr>
        <w:tabs>
          <w:tab w:val="left" w:pos="312"/>
        </w:tabs>
      </w:pPr>
    </w:lvl>
  </w:abstractNum>
  <w:num w:numId="1">
    <w:abstractNumId w:val="16"/>
  </w:num>
  <w:num w:numId="2">
    <w:abstractNumId w:val="3"/>
  </w:num>
  <w:num w:numId="3">
    <w:abstractNumId w:val="13"/>
  </w:num>
  <w:num w:numId="4">
    <w:abstractNumId w:val="6"/>
  </w:num>
  <w:num w:numId="5">
    <w:abstractNumId w:val="9"/>
  </w:num>
  <w:num w:numId="6">
    <w:abstractNumId w:val="18"/>
  </w:num>
  <w:num w:numId="7">
    <w:abstractNumId w:val="27"/>
  </w:num>
  <w:num w:numId="8">
    <w:abstractNumId w:val="20"/>
  </w:num>
  <w:num w:numId="9">
    <w:abstractNumId w:val="0"/>
  </w:num>
  <w:num w:numId="10">
    <w:abstractNumId w:val="28"/>
  </w:num>
  <w:num w:numId="11">
    <w:abstractNumId w:val="12"/>
  </w:num>
  <w:num w:numId="12">
    <w:abstractNumId w:val="4"/>
  </w:num>
  <w:num w:numId="13">
    <w:abstractNumId w:val="21"/>
  </w:num>
  <w:num w:numId="14">
    <w:abstractNumId w:val="2"/>
  </w:num>
  <w:num w:numId="15">
    <w:abstractNumId w:val="14"/>
  </w:num>
  <w:num w:numId="16">
    <w:abstractNumId w:val="11"/>
  </w:num>
  <w:num w:numId="17">
    <w:abstractNumId w:val="10"/>
    <w:lvlOverride w:ilvl="0">
      <w:startOverride w:val="1"/>
    </w:lvlOverride>
  </w:num>
  <w:num w:numId="18">
    <w:abstractNumId w:val="7"/>
  </w:num>
  <w:num w:numId="19">
    <w:abstractNumId w:val="24"/>
    <w:lvlOverride w:ilvl="0">
      <w:startOverride w:val="1"/>
    </w:lvlOverride>
  </w:num>
  <w:num w:numId="20">
    <w:abstractNumId w:val="19"/>
  </w:num>
  <w:num w:numId="21">
    <w:abstractNumId w:val="15"/>
  </w:num>
  <w:num w:numId="22">
    <w:abstractNumId w:val="24"/>
    <w:lvlOverride w:ilvl="0">
      <w:startOverride w:val="1"/>
    </w:lvlOverride>
  </w:num>
  <w:num w:numId="23">
    <w:abstractNumId w:val="10"/>
    <w:lvlOverride w:ilvl="0">
      <w:startOverride w:val="1"/>
    </w:lvlOverride>
  </w:num>
  <w:num w:numId="24">
    <w:abstractNumId w:val="10"/>
    <w:lvlOverride w:ilvl="0">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num>
  <w:num w:numId="28">
    <w:abstractNumId w:val="8"/>
  </w:num>
  <w:num w:numId="29">
    <w:abstractNumId w:val="17"/>
  </w:num>
  <w:num w:numId="30">
    <w:abstractNumId w:val="1"/>
  </w:num>
  <w:num w:numId="31">
    <w:abstractNumId w:val="25"/>
  </w:num>
  <w:num w:numId="32">
    <w:abstractNumId w:val="23"/>
  </w:num>
  <w:num w:numId="33">
    <w:abstractNumId w:val="10"/>
    <w:lvlOverride w:ilvl="0">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num>
  <w:num w:numId="37">
    <w:abstractNumId w:val="10"/>
    <w:lvlOverride w:ilvl="0">
      <w:startOverride w:val="1"/>
    </w:lvlOverride>
  </w:num>
  <w:num w:numId="38">
    <w:abstractNumId w:val="10"/>
    <w:lvlOverride w:ilvl="0">
      <w:startOverride w:val="1"/>
    </w:lvlOverride>
  </w:num>
  <w:num w:numId="39">
    <w:abstractNumId w:val="9"/>
    <w:lvlOverride w:ilvl="0">
      <w:startOverride w:val="1"/>
    </w:lvlOverride>
  </w:num>
  <w:num w:numId="40">
    <w:abstractNumId w:val="9"/>
    <w:lvlOverride w:ilvl="0">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
    <w:lvlOverride w:ilvl="0">
      <w:startOverride w:val="1"/>
    </w:lvlOverride>
  </w:num>
  <w:num w:numId="43">
    <w:abstractNumId w:val="10"/>
    <w:lvlOverride w:ilvl="0">
      <w:startOverride w:val="1"/>
    </w:lvlOverride>
  </w:num>
  <w:num w:numId="4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startOverride w:val="1"/>
    </w:lvlOverride>
  </w:num>
  <w:num w:numId="46">
    <w:abstractNumId w:val="9"/>
    <w:lvlOverride w:ilvl="0">
      <w:startOverride w:val="1"/>
    </w:lvlOverride>
  </w:num>
  <w:num w:numId="47">
    <w:abstractNumId w:val="9"/>
    <w:lvlOverride w:ilvl="0">
      <w:startOverride w:val="1"/>
    </w:lvlOverride>
  </w:num>
  <w:num w:numId="48">
    <w:abstractNumId w:val="10"/>
    <w:lvlOverride w:ilvl="0">
      <w:startOverride w:val="1"/>
    </w:lvlOverride>
  </w:num>
  <w:num w:numId="49">
    <w:abstractNumId w:val="9"/>
    <w:lvlOverride w:ilvl="0">
      <w:startOverride w:val="1"/>
    </w:lvlOverride>
  </w:num>
  <w:num w:numId="50">
    <w:abstractNumId w:val="9"/>
    <w:lvlOverride w:ilvl="0">
      <w:startOverride w:val="1"/>
    </w:lvlOverride>
  </w:num>
  <w:num w:numId="51">
    <w:abstractNumId w:val="9"/>
    <w:lvlOverride w:ilvl="0">
      <w:startOverride w:val="1"/>
    </w:lvlOverride>
  </w:num>
  <w:num w:numId="52">
    <w:abstractNumId w:val="9"/>
    <w:lvlOverride w:ilvl="0">
      <w:startOverride w:val="1"/>
    </w:lvlOverride>
  </w:num>
  <w:num w:numId="53">
    <w:abstractNumId w:val="9"/>
    <w:lvlOverride w:ilvl="0">
      <w:startOverride w:val="1"/>
    </w:lvlOverride>
  </w:num>
  <w:num w:numId="54">
    <w:abstractNumId w:val="9"/>
    <w:lvlOverride w:ilvl="0">
      <w:startOverride w:val="1"/>
    </w:lvlOverride>
  </w:num>
  <w:num w:numId="55">
    <w:abstractNumId w:val="9"/>
    <w:lvlOverride w:ilvl="0">
      <w:startOverride w:val="1"/>
    </w:lvlOverride>
  </w:num>
  <w:num w:numId="56">
    <w:abstractNumId w:val="9"/>
    <w:lvlOverride w:ilvl="0">
      <w:startOverride w:val="1"/>
    </w:lvlOverride>
  </w:num>
  <w:num w:numId="57">
    <w:abstractNumId w:val="9"/>
    <w:lvlOverride w:ilvl="0">
      <w:startOverride w:val="1"/>
    </w:lvlOverride>
  </w:num>
  <w:num w:numId="58">
    <w:abstractNumId w:val="9"/>
    <w:lvlOverride w:ilvl="0">
      <w:startOverride w:val="1"/>
    </w:lvlOverride>
  </w:num>
  <w:num w:numId="59">
    <w:abstractNumId w:val="9"/>
    <w:lvlOverride w:ilvl="0">
      <w:startOverride w:val="1"/>
    </w:lvlOverride>
  </w:num>
  <w:num w:numId="6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2"/>
  </w:num>
  <w:num w:numId="66">
    <w:abstractNumId w:val="24"/>
    <w:lvlOverride w:ilvl="0">
      <w:startOverride w:val="1"/>
    </w:lvlOverride>
  </w:num>
  <w:num w:numId="67">
    <w:abstractNumId w:val="10"/>
    <w:lvlOverride w:ilvl="0">
      <w:startOverride w:val="1"/>
    </w:lvlOverride>
  </w:num>
  <w:num w:numId="68">
    <w:abstractNumId w:val="10"/>
    <w:lvlOverride w:ilvl="0">
      <w:startOverride w:val="1"/>
    </w:lvlOverride>
  </w:num>
  <w:num w:numId="69">
    <w:abstractNumId w:val="10"/>
    <w:lvlOverride w:ilvl="0">
      <w:startOverride w:val="1"/>
    </w:lvlOverride>
  </w:num>
  <w:num w:numId="70">
    <w:abstractNumId w:val="24"/>
    <w:lvlOverride w:ilvl="0">
      <w:startOverride w:val="1"/>
    </w:lvlOverride>
  </w:num>
  <w:num w:numId="71">
    <w:abstractNumId w:val="10"/>
    <w:lvlOverride w:ilvl="0">
      <w:startOverride w:val="1"/>
    </w:lvlOverride>
  </w:num>
  <w:num w:numId="72">
    <w:abstractNumId w:val="10"/>
    <w:lvlOverride w:ilvl="0">
      <w:startOverride w:val="1"/>
    </w:lvlOverride>
  </w:num>
  <w:num w:numId="73">
    <w:abstractNumId w:val="10"/>
    <w:lvlOverride w:ilvl="0">
      <w:startOverride w:val="1"/>
    </w:lvlOverride>
  </w:num>
  <w:num w:numId="74">
    <w:abstractNumId w:val="5"/>
  </w:num>
  <w:num w:numId="75">
    <w:abstractNumId w:val="10"/>
    <w:lvlOverride w:ilvl="0">
      <w:startOverride w:val="1"/>
    </w:lvlOverride>
  </w:num>
  <w:num w:numId="76">
    <w:abstractNumId w:val="10"/>
    <w:lvlOverride w:ilvl="0">
      <w:startOverride w:val="1"/>
    </w:lvlOverride>
  </w:num>
  <w:num w:numId="77">
    <w:abstractNumId w:val="10"/>
    <w:lvlOverride w:ilvl="0">
      <w:startOverride w:val="1"/>
    </w:lvlOverride>
  </w:num>
  <w:num w:numId="78">
    <w:abstractNumId w:val="10"/>
    <w:lvlOverride w:ilvl="0">
      <w:startOverride w:val="1"/>
    </w:lvlOverride>
  </w:num>
  <w:num w:numId="79">
    <w:abstractNumId w:val="10"/>
    <w:lvlOverride w:ilvl="0">
      <w:startOverride w:val="1"/>
    </w:lvlOverride>
  </w:num>
  <w:num w:numId="8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0"/>
    <w:lvlOverride w:ilvl="0">
      <w:startOverride w:val="1"/>
    </w:lvlOverride>
  </w:num>
  <w:num w:numId="8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
    <w:lvlOverride w:ilvl="0">
      <w:startOverride w:val="1"/>
    </w:lvlOverride>
  </w:num>
  <w:num w:numId="86">
    <w:abstractNumId w:val="9"/>
    <w:lvlOverride w:ilvl="0">
      <w:startOverride w:val="1"/>
    </w:lvlOverride>
  </w:num>
  <w:num w:numId="8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
    <w:lvlOverride w:ilvl="0">
      <w:startOverride w:val="1"/>
    </w:lvlOverride>
  </w:num>
  <w:num w:numId="8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5777A"/>
    <w:rsid w:val="000629CC"/>
    <w:rsid w:val="00065382"/>
    <w:rsid w:val="000654A8"/>
    <w:rsid w:val="00080223"/>
    <w:rsid w:val="000A5309"/>
    <w:rsid w:val="000C3D1C"/>
    <w:rsid w:val="000D517C"/>
    <w:rsid w:val="000D6A51"/>
    <w:rsid w:val="000F45A3"/>
    <w:rsid w:val="001C1EE3"/>
    <w:rsid w:val="001C713C"/>
    <w:rsid w:val="001D75B9"/>
    <w:rsid w:val="00200598"/>
    <w:rsid w:val="002005CB"/>
    <w:rsid w:val="00200F05"/>
    <w:rsid w:val="00204D26"/>
    <w:rsid w:val="00220056"/>
    <w:rsid w:val="002626ED"/>
    <w:rsid w:val="00265A40"/>
    <w:rsid w:val="00282FDE"/>
    <w:rsid w:val="0028604D"/>
    <w:rsid w:val="0029130A"/>
    <w:rsid w:val="0030771C"/>
    <w:rsid w:val="00312FBA"/>
    <w:rsid w:val="00373064"/>
    <w:rsid w:val="003A41A2"/>
    <w:rsid w:val="003A4540"/>
    <w:rsid w:val="003B4D7D"/>
    <w:rsid w:val="003E0AB3"/>
    <w:rsid w:val="00400748"/>
    <w:rsid w:val="00401C42"/>
    <w:rsid w:val="004076DE"/>
    <w:rsid w:val="00460AFB"/>
    <w:rsid w:val="00467059"/>
    <w:rsid w:val="00470130"/>
    <w:rsid w:val="00483B0A"/>
    <w:rsid w:val="004B43AC"/>
    <w:rsid w:val="004B5126"/>
    <w:rsid w:val="004F7838"/>
    <w:rsid w:val="00503391"/>
    <w:rsid w:val="005060B3"/>
    <w:rsid w:val="00552960"/>
    <w:rsid w:val="0056018A"/>
    <w:rsid w:val="00566FF6"/>
    <w:rsid w:val="00567344"/>
    <w:rsid w:val="005829DC"/>
    <w:rsid w:val="0058791F"/>
    <w:rsid w:val="005951C4"/>
    <w:rsid w:val="005A3BB1"/>
    <w:rsid w:val="005B4812"/>
    <w:rsid w:val="005C0B4E"/>
    <w:rsid w:val="005C421F"/>
    <w:rsid w:val="005D3BFA"/>
    <w:rsid w:val="005F16F0"/>
    <w:rsid w:val="0065185D"/>
    <w:rsid w:val="00680629"/>
    <w:rsid w:val="00686C52"/>
    <w:rsid w:val="006E1C35"/>
    <w:rsid w:val="006F1414"/>
    <w:rsid w:val="007432BF"/>
    <w:rsid w:val="007525BF"/>
    <w:rsid w:val="007800DC"/>
    <w:rsid w:val="007838AA"/>
    <w:rsid w:val="00783D5E"/>
    <w:rsid w:val="00785FD6"/>
    <w:rsid w:val="00794A28"/>
    <w:rsid w:val="007B212D"/>
    <w:rsid w:val="007B21BB"/>
    <w:rsid w:val="00802D67"/>
    <w:rsid w:val="00806A61"/>
    <w:rsid w:val="0081617D"/>
    <w:rsid w:val="00824BFD"/>
    <w:rsid w:val="008453B3"/>
    <w:rsid w:val="008D3B56"/>
    <w:rsid w:val="008D5CEF"/>
    <w:rsid w:val="00900B60"/>
    <w:rsid w:val="009227AD"/>
    <w:rsid w:val="009360F9"/>
    <w:rsid w:val="00963EAF"/>
    <w:rsid w:val="00964F00"/>
    <w:rsid w:val="009B511E"/>
    <w:rsid w:val="009E0F5E"/>
    <w:rsid w:val="00A069C7"/>
    <w:rsid w:val="00A21EB2"/>
    <w:rsid w:val="00A31561"/>
    <w:rsid w:val="00A54E95"/>
    <w:rsid w:val="00A80564"/>
    <w:rsid w:val="00A960B2"/>
    <w:rsid w:val="00AE370B"/>
    <w:rsid w:val="00AE6633"/>
    <w:rsid w:val="00B01FF1"/>
    <w:rsid w:val="00B72516"/>
    <w:rsid w:val="00B92C97"/>
    <w:rsid w:val="00BA3C70"/>
    <w:rsid w:val="00BB4E42"/>
    <w:rsid w:val="00BF0E19"/>
    <w:rsid w:val="00C01073"/>
    <w:rsid w:val="00C06DE5"/>
    <w:rsid w:val="00C129C5"/>
    <w:rsid w:val="00C326CF"/>
    <w:rsid w:val="00C855F6"/>
    <w:rsid w:val="00C92F53"/>
    <w:rsid w:val="00CC3556"/>
    <w:rsid w:val="00CD5223"/>
    <w:rsid w:val="00CE5010"/>
    <w:rsid w:val="00CE6E17"/>
    <w:rsid w:val="00D0528A"/>
    <w:rsid w:val="00D11B37"/>
    <w:rsid w:val="00D408EF"/>
    <w:rsid w:val="00D5145C"/>
    <w:rsid w:val="00D64DAE"/>
    <w:rsid w:val="00D729A1"/>
    <w:rsid w:val="00D7670D"/>
    <w:rsid w:val="00D91669"/>
    <w:rsid w:val="00DB5225"/>
    <w:rsid w:val="00DD1E5E"/>
    <w:rsid w:val="00DE5879"/>
    <w:rsid w:val="00DE6417"/>
    <w:rsid w:val="00E16182"/>
    <w:rsid w:val="00E1627A"/>
    <w:rsid w:val="00E224CA"/>
    <w:rsid w:val="00E34C35"/>
    <w:rsid w:val="00E63AF2"/>
    <w:rsid w:val="00E650A8"/>
    <w:rsid w:val="00E8160A"/>
    <w:rsid w:val="00E878B4"/>
    <w:rsid w:val="00EB3D00"/>
    <w:rsid w:val="00F36285"/>
    <w:rsid w:val="00F71720"/>
    <w:rsid w:val="00F91A2B"/>
    <w:rsid w:val="00F97911"/>
    <w:rsid w:val="00FA4619"/>
    <w:rsid w:val="00FB7C96"/>
    <w:rsid w:val="00FE040F"/>
    <w:rsid w:val="00FE42B3"/>
    <w:rsid w:val="012A7AF5"/>
    <w:rsid w:val="014832F2"/>
    <w:rsid w:val="014D51C1"/>
    <w:rsid w:val="017064EA"/>
    <w:rsid w:val="01714809"/>
    <w:rsid w:val="01B3782C"/>
    <w:rsid w:val="01C52478"/>
    <w:rsid w:val="025C7FF6"/>
    <w:rsid w:val="027408EE"/>
    <w:rsid w:val="02963F39"/>
    <w:rsid w:val="02A62A31"/>
    <w:rsid w:val="02B3095A"/>
    <w:rsid w:val="02BA7274"/>
    <w:rsid w:val="02C32E43"/>
    <w:rsid w:val="02E61E15"/>
    <w:rsid w:val="02F15024"/>
    <w:rsid w:val="03251978"/>
    <w:rsid w:val="0325718A"/>
    <w:rsid w:val="0376646B"/>
    <w:rsid w:val="041C6F4E"/>
    <w:rsid w:val="041E2451"/>
    <w:rsid w:val="042921B6"/>
    <w:rsid w:val="043B72BB"/>
    <w:rsid w:val="04461EC1"/>
    <w:rsid w:val="04504B3F"/>
    <w:rsid w:val="04AD02B8"/>
    <w:rsid w:val="04DE51C8"/>
    <w:rsid w:val="04DF17D4"/>
    <w:rsid w:val="05412745"/>
    <w:rsid w:val="05491761"/>
    <w:rsid w:val="055C1AD8"/>
    <w:rsid w:val="05A351AD"/>
    <w:rsid w:val="05C6096D"/>
    <w:rsid w:val="05F9748A"/>
    <w:rsid w:val="06266F78"/>
    <w:rsid w:val="063E7B7A"/>
    <w:rsid w:val="06582413"/>
    <w:rsid w:val="06753784"/>
    <w:rsid w:val="067E33B8"/>
    <w:rsid w:val="067F41B9"/>
    <w:rsid w:val="06846087"/>
    <w:rsid w:val="069A1A13"/>
    <w:rsid w:val="06E82FCB"/>
    <w:rsid w:val="06F34B95"/>
    <w:rsid w:val="07571DAC"/>
    <w:rsid w:val="084859A3"/>
    <w:rsid w:val="088F5CA8"/>
    <w:rsid w:val="08DD171B"/>
    <w:rsid w:val="08E64121"/>
    <w:rsid w:val="08EA2F9C"/>
    <w:rsid w:val="090D588C"/>
    <w:rsid w:val="0942017F"/>
    <w:rsid w:val="09BA1FBB"/>
    <w:rsid w:val="09CB139F"/>
    <w:rsid w:val="0A0106F5"/>
    <w:rsid w:val="0A112AB7"/>
    <w:rsid w:val="0A4E5482"/>
    <w:rsid w:val="0AAA504A"/>
    <w:rsid w:val="0AD71BC7"/>
    <w:rsid w:val="0AE70F49"/>
    <w:rsid w:val="0AF420EB"/>
    <w:rsid w:val="0B2B2BF5"/>
    <w:rsid w:val="0B2F3908"/>
    <w:rsid w:val="0B3F6206"/>
    <w:rsid w:val="0B6E15DE"/>
    <w:rsid w:val="0BE12DB6"/>
    <w:rsid w:val="0BFC6504"/>
    <w:rsid w:val="0C345AD1"/>
    <w:rsid w:val="0C626CE4"/>
    <w:rsid w:val="0C822B95"/>
    <w:rsid w:val="0D0C2B7B"/>
    <w:rsid w:val="0D5F6D00"/>
    <w:rsid w:val="0D9308F8"/>
    <w:rsid w:val="0DE76C3D"/>
    <w:rsid w:val="0E1A1D85"/>
    <w:rsid w:val="0E2941CB"/>
    <w:rsid w:val="0E750568"/>
    <w:rsid w:val="0E9C3C97"/>
    <w:rsid w:val="0F2D7A80"/>
    <w:rsid w:val="0F4277E5"/>
    <w:rsid w:val="0F4C5227"/>
    <w:rsid w:val="0F684B57"/>
    <w:rsid w:val="0FA75561"/>
    <w:rsid w:val="0FB83603"/>
    <w:rsid w:val="0FCA77F1"/>
    <w:rsid w:val="0FCD5DCC"/>
    <w:rsid w:val="0FDB0E3A"/>
    <w:rsid w:val="10043197"/>
    <w:rsid w:val="10270545"/>
    <w:rsid w:val="103409DF"/>
    <w:rsid w:val="1087069D"/>
    <w:rsid w:val="108A1D4B"/>
    <w:rsid w:val="10A10111"/>
    <w:rsid w:val="10A17FC7"/>
    <w:rsid w:val="10BE093E"/>
    <w:rsid w:val="10E20BD8"/>
    <w:rsid w:val="111B0FE9"/>
    <w:rsid w:val="112C77F4"/>
    <w:rsid w:val="114755AB"/>
    <w:rsid w:val="115F67A8"/>
    <w:rsid w:val="119604A6"/>
    <w:rsid w:val="119A7465"/>
    <w:rsid w:val="11C07DA5"/>
    <w:rsid w:val="11C2491E"/>
    <w:rsid w:val="11F36B75"/>
    <w:rsid w:val="12124AB5"/>
    <w:rsid w:val="12491386"/>
    <w:rsid w:val="12751983"/>
    <w:rsid w:val="12887F77"/>
    <w:rsid w:val="12E60579"/>
    <w:rsid w:val="12E66E96"/>
    <w:rsid w:val="12EB0F02"/>
    <w:rsid w:val="12FE6E3A"/>
    <w:rsid w:val="13695B36"/>
    <w:rsid w:val="1372609F"/>
    <w:rsid w:val="13D73572"/>
    <w:rsid w:val="14504752"/>
    <w:rsid w:val="145A6A37"/>
    <w:rsid w:val="1467440F"/>
    <w:rsid w:val="14BB0D92"/>
    <w:rsid w:val="153955DC"/>
    <w:rsid w:val="15400323"/>
    <w:rsid w:val="15433A9B"/>
    <w:rsid w:val="15481005"/>
    <w:rsid w:val="15A93017"/>
    <w:rsid w:val="15FC2F04"/>
    <w:rsid w:val="16181FAC"/>
    <w:rsid w:val="164B1DA1"/>
    <w:rsid w:val="168756A0"/>
    <w:rsid w:val="16F94849"/>
    <w:rsid w:val="17045E51"/>
    <w:rsid w:val="172011D4"/>
    <w:rsid w:val="17252C3B"/>
    <w:rsid w:val="173F0A2E"/>
    <w:rsid w:val="17770BC2"/>
    <w:rsid w:val="17860E2F"/>
    <w:rsid w:val="17892228"/>
    <w:rsid w:val="17A119AA"/>
    <w:rsid w:val="18586F2B"/>
    <w:rsid w:val="19442DF9"/>
    <w:rsid w:val="1986426C"/>
    <w:rsid w:val="19873C1D"/>
    <w:rsid w:val="19A766B9"/>
    <w:rsid w:val="19CE76BA"/>
    <w:rsid w:val="19F26070"/>
    <w:rsid w:val="19F97C8B"/>
    <w:rsid w:val="1A1523CE"/>
    <w:rsid w:val="1A6A6939"/>
    <w:rsid w:val="1AA730BD"/>
    <w:rsid w:val="1B333D5D"/>
    <w:rsid w:val="1B587618"/>
    <w:rsid w:val="1B5F19C7"/>
    <w:rsid w:val="1C1C709B"/>
    <w:rsid w:val="1C4F6795"/>
    <w:rsid w:val="1C9F6814"/>
    <w:rsid w:val="1CCB626F"/>
    <w:rsid w:val="1D1F0356"/>
    <w:rsid w:val="1D5C514E"/>
    <w:rsid w:val="1D865D14"/>
    <w:rsid w:val="1D8705EC"/>
    <w:rsid w:val="1DD872E4"/>
    <w:rsid w:val="1DEC0E7D"/>
    <w:rsid w:val="1E43150B"/>
    <w:rsid w:val="1EA93E80"/>
    <w:rsid w:val="1EC12DB3"/>
    <w:rsid w:val="1ED04B7D"/>
    <w:rsid w:val="1ED33FB6"/>
    <w:rsid w:val="1EE81332"/>
    <w:rsid w:val="1F32415A"/>
    <w:rsid w:val="1F542F9A"/>
    <w:rsid w:val="1F702632"/>
    <w:rsid w:val="1F7E2174"/>
    <w:rsid w:val="1FA23FC6"/>
    <w:rsid w:val="1FDC6454"/>
    <w:rsid w:val="20107567"/>
    <w:rsid w:val="20916A7C"/>
    <w:rsid w:val="20AB56C6"/>
    <w:rsid w:val="21547789"/>
    <w:rsid w:val="2176507C"/>
    <w:rsid w:val="21836286"/>
    <w:rsid w:val="21BE35AF"/>
    <w:rsid w:val="21C11174"/>
    <w:rsid w:val="21E83A2C"/>
    <w:rsid w:val="22244B28"/>
    <w:rsid w:val="22467FD4"/>
    <w:rsid w:val="229451FD"/>
    <w:rsid w:val="22A12DB6"/>
    <w:rsid w:val="22D11FA9"/>
    <w:rsid w:val="236356D1"/>
    <w:rsid w:val="23A91C83"/>
    <w:rsid w:val="23C962E8"/>
    <w:rsid w:val="247E4FED"/>
    <w:rsid w:val="24AD78E0"/>
    <w:rsid w:val="24B30BE8"/>
    <w:rsid w:val="24E34060"/>
    <w:rsid w:val="253A0491"/>
    <w:rsid w:val="254E0478"/>
    <w:rsid w:val="255D2F39"/>
    <w:rsid w:val="25E036B2"/>
    <w:rsid w:val="25E9082A"/>
    <w:rsid w:val="25F42473"/>
    <w:rsid w:val="269C17B8"/>
    <w:rsid w:val="26AF2D79"/>
    <w:rsid w:val="26B34B91"/>
    <w:rsid w:val="26CC10B7"/>
    <w:rsid w:val="270D66E8"/>
    <w:rsid w:val="27514612"/>
    <w:rsid w:val="278B0DAB"/>
    <w:rsid w:val="279C6B0E"/>
    <w:rsid w:val="27A64735"/>
    <w:rsid w:val="27CC4DF2"/>
    <w:rsid w:val="27DF65F5"/>
    <w:rsid w:val="281864F2"/>
    <w:rsid w:val="28397596"/>
    <w:rsid w:val="285717B4"/>
    <w:rsid w:val="286903EF"/>
    <w:rsid w:val="287F5DD3"/>
    <w:rsid w:val="288047CB"/>
    <w:rsid w:val="289E62FA"/>
    <w:rsid w:val="28FD6E90"/>
    <w:rsid w:val="291E2CA6"/>
    <w:rsid w:val="292B66D8"/>
    <w:rsid w:val="29331862"/>
    <w:rsid w:val="299741EC"/>
    <w:rsid w:val="299E147F"/>
    <w:rsid w:val="29C32A87"/>
    <w:rsid w:val="29CF26DC"/>
    <w:rsid w:val="2A1C5DA0"/>
    <w:rsid w:val="2A200D39"/>
    <w:rsid w:val="2A280AB9"/>
    <w:rsid w:val="2A507EFF"/>
    <w:rsid w:val="2ADC05A4"/>
    <w:rsid w:val="2AEF2177"/>
    <w:rsid w:val="2B0D2030"/>
    <w:rsid w:val="2B6F0D7F"/>
    <w:rsid w:val="2B8716BD"/>
    <w:rsid w:val="2B8B76FF"/>
    <w:rsid w:val="2BD5034F"/>
    <w:rsid w:val="2BE05C4E"/>
    <w:rsid w:val="2C924AE7"/>
    <w:rsid w:val="2D025012"/>
    <w:rsid w:val="2D3B693B"/>
    <w:rsid w:val="2D4178F0"/>
    <w:rsid w:val="2D634703"/>
    <w:rsid w:val="2D7711AA"/>
    <w:rsid w:val="2D7D58EB"/>
    <w:rsid w:val="2DA45D22"/>
    <w:rsid w:val="2DAE631A"/>
    <w:rsid w:val="2DD877E0"/>
    <w:rsid w:val="2DE616C9"/>
    <w:rsid w:val="2DE801DF"/>
    <w:rsid w:val="2DFC2451"/>
    <w:rsid w:val="2E3422F8"/>
    <w:rsid w:val="2E3D68D2"/>
    <w:rsid w:val="2E6E566D"/>
    <w:rsid w:val="2E7F188E"/>
    <w:rsid w:val="2EA91D49"/>
    <w:rsid w:val="2EBC0905"/>
    <w:rsid w:val="2EC73739"/>
    <w:rsid w:val="2EF91817"/>
    <w:rsid w:val="2EFB1B0E"/>
    <w:rsid w:val="2F5C684F"/>
    <w:rsid w:val="2F63756E"/>
    <w:rsid w:val="2F922AC9"/>
    <w:rsid w:val="2FE46C38"/>
    <w:rsid w:val="2FE6553A"/>
    <w:rsid w:val="303D4E30"/>
    <w:rsid w:val="30767505"/>
    <w:rsid w:val="307776D1"/>
    <w:rsid w:val="30862574"/>
    <w:rsid w:val="309D1AAC"/>
    <w:rsid w:val="30A94284"/>
    <w:rsid w:val="30AD52F3"/>
    <w:rsid w:val="30B631E1"/>
    <w:rsid w:val="311933AA"/>
    <w:rsid w:val="314C32D2"/>
    <w:rsid w:val="317D15BB"/>
    <w:rsid w:val="31D07E6C"/>
    <w:rsid w:val="31D907BC"/>
    <w:rsid w:val="323F65DA"/>
    <w:rsid w:val="32412074"/>
    <w:rsid w:val="32DE0199"/>
    <w:rsid w:val="332D3F59"/>
    <w:rsid w:val="333C2963"/>
    <w:rsid w:val="335B2774"/>
    <w:rsid w:val="33A4642E"/>
    <w:rsid w:val="33D4039C"/>
    <w:rsid w:val="33D47E05"/>
    <w:rsid w:val="33DF460E"/>
    <w:rsid w:val="3413677D"/>
    <w:rsid w:val="342B544B"/>
    <w:rsid w:val="342D0929"/>
    <w:rsid w:val="345E036E"/>
    <w:rsid w:val="34C47852"/>
    <w:rsid w:val="34DE1E4F"/>
    <w:rsid w:val="34F07DB1"/>
    <w:rsid w:val="34FA2455"/>
    <w:rsid w:val="357E6FD1"/>
    <w:rsid w:val="359009FB"/>
    <w:rsid w:val="35D354B8"/>
    <w:rsid w:val="35D4025C"/>
    <w:rsid w:val="362666BC"/>
    <w:rsid w:val="363646D4"/>
    <w:rsid w:val="368A6B11"/>
    <w:rsid w:val="36ED2AA8"/>
    <w:rsid w:val="36F44712"/>
    <w:rsid w:val="37085B1F"/>
    <w:rsid w:val="372E04CB"/>
    <w:rsid w:val="38E070F2"/>
    <w:rsid w:val="390D33AB"/>
    <w:rsid w:val="391E6D06"/>
    <w:rsid w:val="39573D9E"/>
    <w:rsid w:val="39D63AE8"/>
    <w:rsid w:val="3A074847"/>
    <w:rsid w:val="3A830B2E"/>
    <w:rsid w:val="3AA90FE6"/>
    <w:rsid w:val="3AA9318F"/>
    <w:rsid w:val="3AB62DA0"/>
    <w:rsid w:val="3B057828"/>
    <w:rsid w:val="3B69577B"/>
    <w:rsid w:val="3B702D85"/>
    <w:rsid w:val="3B7D3FD5"/>
    <w:rsid w:val="3B823DDF"/>
    <w:rsid w:val="3BD827B4"/>
    <w:rsid w:val="3C237ED3"/>
    <w:rsid w:val="3C4D2D59"/>
    <w:rsid w:val="3C872CDC"/>
    <w:rsid w:val="3CAA596A"/>
    <w:rsid w:val="3CAF1D22"/>
    <w:rsid w:val="3CB1587B"/>
    <w:rsid w:val="3CB735F2"/>
    <w:rsid w:val="3D186684"/>
    <w:rsid w:val="3D260E6E"/>
    <w:rsid w:val="3D363C36"/>
    <w:rsid w:val="3D681FCA"/>
    <w:rsid w:val="3D8B2178"/>
    <w:rsid w:val="3D8F4DAA"/>
    <w:rsid w:val="3DB34909"/>
    <w:rsid w:val="3DD115F5"/>
    <w:rsid w:val="3DE435F0"/>
    <w:rsid w:val="3DE5122C"/>
    <w:rsid w:val="3DF37E53"/>
    <w:rsid w:val="3E0E37DD"/>
    <w:rsid w:val="3ED26DE9"/>
    <w:rsid w:val="3EED17D0"/>
    <w:rsid w:val="3F0C0304"/>
    <w:rsid w:val="3F774839"/>
    <w:rsid w:val="3FBD02CF"/>
    <w:rsid w:val="3FEC147E"/>
    <w:rsid w:val="3FED7DE8"/>
    <w:rsid w:val="40376375"/>
    <w:rsid w:val="40CC48AF"/>
    <w:rsid w:val="41034D34"/>
    <w:rsid w:val="412732B7"/>
    <w:rsid w:val="4127791F"/>
    <w:rsid w:val="41281794"/>
    <w:rsid w:val="413C1FDF"/>
    <w:rsid w:val="41806A69"/>
    <w:rsid w:val="419453CF"/>
    <w:rsid w:val="41B0259C"/>
    <w:rsid w:val="41B77686"/>
    <w:rsid w:val="41BC6F1C"/>
    <w:rsid w:val="41C9127A"/>
    <w:rsid w:val="41EF2363"/>
    <w:rsid w:val="41F77860"/>
    <w:rsid w:val="424A4B98"/>
    <w:rsid w:val="42581D3A"/>
    <w:rsid w:val="428E23A1"/>
    <w:rsid w:val="42ED2EA4"/>
    <w:rsid w:val="42F6649D"/>
    <w:rsid w:val="42FC4E28"/>
    <w:rsid w:val="42FE0080"/>
    <w:rsid w:val="43315D2E"/>
    <w:rsid w:val="43670C99"/>
    <w:rsid w:val="43824A1C"/>
    <w:rsid w:val="43D110E1"/>
    <w:rsid w:val="43E873C9"/>
    <w:rsid w:val="441575BD"/>
    <w:rsid w:val="44905B1F"/>
    <w:rsid w:val="44C53CAD"/>
    <w:rsid w:val="45056C1E"/>
    <w:rsid w:val="45316885"/>
    <w:rsid w:val="45A95EE9"/>
    <w:rsid w:val="45FB0F21"/>
    <w:rsid w:val="46081DBA"/>
    <w:rsid w:val="46167166"/>
    <w:rsid w:val="4636719A"/>
    <w:rsid w:val="465859F2"/>
    <w:rsid w:val="46675D0A"/>
    <w:rsid w:val="46CA48B3"/>
    <w:rsid w:val="46EE66F5"/>
    <w:rsid w:val="47200EE3"/>
    <w:rsid w:val="47435AC2"/>
    <w:rsid w:val="47544B78"/>
    <w:rsid w:val="47587AF7"/>
    <w:rsid w:val="47745A86"/>
    <w:rsid w:val="47E239AC"/>
    <w:rsid w:val="480F4B73"/>
    <w:rsid w:val="484F3AB2"/>
    <w:rsid w:val="487974BD"/>
    <w:rsid w:val="48DB38E3"/>
    <w:rsid w:val="49001B5E"/>
    <w:rsid w:val="49376DB0"/>
    <w:rsid w:val="49613A8F"/>
    <w:rsid w:val="49804BB7"/>
    <w:rsid w:val="49826DCB"/>
    <w:rsid w:val="499013E7"/>
    <w:rsid w:val="49A22843"/>
    <w:rsid w:val="49C8088A"/>
    <w:rsid w:val="4A0F6D68"/>
    <w:rsid w:val="4A233384"/>
    <w:rsid w:val="4A301C93"/>
    <w:rsid w:val="4A3302AB"/>
    <w:rsid w:val="4A572A17"/>
    <w:rsid w:val="4A6F2535"/>
    <w:rsid w:val="4ABC270D"/>
    <w:rsid w:val="4AC85D49"/>
    <w:rsid w:val="4AE308A9"/>
    <w:rsid w:val="4B260F2D"/>
    <w:rsid w:val="4B9049B6"/>
    <w:rsid w:val="4B9A1456"/>
    <w:rsid w:val="4BA32C82"/>
    <w:rsid w:val="4BE70627"/>
    <w:rsid w:val="4C0A5AE1"/>
    <w:rsid w:val="4C130AB8"/>
    <w:rsid w:val="4C5A284D"/>
    <w:rsid w:val="4C5C0673"/>
    <w:rsid w:val="4C947BAF"/>
    <w:rsid w:val="4CB96B43"/>
    <w:rsid w:val="4CC75FCC"/>
    <w:rsid w:val="4CC87A5E"/>
    <w:rsid w:val="4CD63947"/>
    <w:rsid w:val="4CF957AB"/>
    <w:rsid w:val="4CFC49F4"/>
    <w:rsid w:val="4D073D73"/>
    <w:rsid w:val="4D1E27BA"/>
    <w:rsid w:val="4D23574A"/>
    <w:rsid w:val="4D4C4DB0"/>
    <w:rsid w:val="4D645808"/>
    <w:rsid w:val="4D7322D5"/>
    <w:rsid w:val="4DD7034C"/>
    <w:rsid w:val="4DE312CB"/>
    <w:rsid w:val="4DED3207"/>
    <w:rsid w:val="4DF5318E"/>
    <w:rsid w:val="4E1F4862"/>
    <w:rsid w:val="4E2E4393"/>
    <w:rsid w:val="4E535EF2"/>
    <w:rsid w:val="4F08773C"/>
    <w:rsid w:val="4F102B4E"/>
    <w:rsid w:val="4F31409F"/>
    <w:rsid w:val="4F5E670E"/>
    <w:rsid w:val="4F846A83"/>
    <w:rsid w:val="50070E2C"/>
    <w:rsid w:val="501112F3"/>
    <w:rsid w:val="504B57F2"/>
    <w:rsid w:val="50C5433A"/>
    <w:rsid w:val="50C62BC7"/>
    <w:rsid w:val="50F72A66"/>
    <w:rsid w:val="5123368C"/>
    <w:rsid w:val="5130747C"/>
    <w:rsid w:val="514C2B97"/>
    <w:rsid w:val="515C765A"/>
    <w:rsid w:val="51901536"/>
    <w:rsid w:val="51905BB3"/>
    <w:rsid w:val="51946FCB"/>
    <w:rsid w:val="51DD796B"/>
    <w:rsid w:val="51DF373B"/>
    <w:rsid w:val="51F83C2D"/>
    <w:rsid w:val="52855120"/>
    <w:rsid w:val="52EF4CB5"/>
    <w:rsid w:val="52F959F0"/>
    <w:rsid w:val="5302488E"/>
    <w:rsid w:val="53136173"/>
    <w:rsid w:val="5314189C"/>
    <w:rsid w:val="534B12B7"/>
    <w:rsid w:val="539A4AC7"/>
    <w:rsid w:val="5420228D"/>
    <w:rsid w:val="542631B6"/>
    <w:rsid w:val="5447483C"/>
    <w:rsid w:val="54707760"/>
    <w:rsid w:val="54942CAE"/>
    <w:rsid w:val="54A61722"/>
    <w:rsid w:val="54B31FAF"/>
    <w:rsid w:val="54C211D8"/>
    <w:rsid w:val="54E97446"/>
    <w:rsid w:val="551F3E29"/>
    <w:rsid w:val="55326D63"/>
    <w:rsid w:val="55371E3B"/>
    <w:rsid w:val="555C4076"/>
    <w:rsid w:val="555D1A10"/>
    <w:rsid w:val="56394926"/>
    <w:rsid w:val="56A44AC7"/>
    <w:rsid w:val="56AC4A78"/>
    <w:rsid w:val="56DB16B9"/>
    <w:rsid w:val="572C7B83"/>
    <w:rsid w:val="57762D89"/>
    <w:rsid w:val="577A3463"/>
    <w:rsid w:val="57F967AD"/>
    <w:rsid w:val="58052975"/>
    <w:rsid w:val="584D1A65"/>
    <w:rsid w:val="584F5C44"/>
    <w:rsid w:val="58504D6C"/>
    <w:rsid w:val="588B22C9"/>
    <w:rsid w:val="58E525CA"/>
    <w:rsid w:val="58E55347"/>
    <w:rsid w:val="58EE7372"/>
    <w:rsid w:val="592C20DA"/>
    <w:rsid w:val="593873A0"/>
    <w:rsid w:val="593D045A"/>
    <w:rsid w:val="5960739E"/>
    <w:rsid w:val="59896D0A"/>
    <w:rsid w:val="59A83C88"/>
    <w:rsid w:val="59B72684"/>
    <w:rsid w:val="5A295A8C"/>
    <w:rsid w:val="5A9579AE"/>
    <w:rsid w:val="5AC468CD"/>
    <w:rsid w:val="5B342B9A"/>
    <w:rsid w:val="5B5953B0"/>
    <w:rsid w:val="5B630802"/>
    <w:rsid w:val="5B807F68"/>
    <w:rsid w:val="5BA72CE5"/>
    <w:rsid w:val="5C034D53"/>
    <w:rsid w:val="5CC81D66"/>
    <w:rsid w:val="5D722852"/>
    <w:rsid w:val="5E070231"/>
    <w:rsid w:val="5E1D6F56"/>
    <w:rsid w:val="5E52187F"/>
    <w:rsid w:val="5E6A13CD"/>
    <w:rsid w:val="5E705D15"/>
    <w:rsid w:val="5E93326C"/>
    <w:rsid w:val="5E9F1A7A"/>
    <w:rsid w:val="5EAF3818"/>
    <w:rsid w:val="5EFB4BA4"/>
    <w:rsid w:val="5EFE2597"/>
    <w:rsid w:val="5F025452"/>
    <w:rsid w:val="5F5F46B5"/>
    <w:rsid w:val="5F6762C1"/>
    <w:rsid w:val="5FB25360"/>
    <w:rsid w:val="5FBA3CC0"/>
    <w:rsid w:val="5FD90D61"/>
    <w:rsid w:val="60177697"/>
    <w:rsid w:val="602329DB"/>
    <w:rsid w:val="607777D6"/>
    <w:rsid w:val="6080285E"/>
    <w:rsid w:val="609A56B8"/>
    <w:rsid w:val="60BC76A1"/>
    <w:rsid w:val="60F0637F"/>
    <w:rsid w:val="610B7637"/>
    <w:rsid w:val="612279BA"/>
    <w:rsid w:val="615F5624"/>
    <w:rsid w:val="61786FF4"/>
    <w:rsid w:val="61AC7DCD"/>
    <w:rsid w:val="61D04110"/>
    <w:rsid w:val="61D215CF"/>
    <w:rsid w:val="61E618AE"/>
    <w:rsid w:val="62593D9F"/>
    <w:rsid w:val="625C563D"/>
    <w:rsid w:val="626A1704"/>
    <w:rsid w:val="627921C2"/>
    <w:rsid w:val="62937823"/>
    <w:rsid w:val="62A24E62"/>
    <w:rsid w:val="62B362C8"/>
    <w:rsid w:val="62C1330E"/>
    <w:rsid w:val="6342085E"/>
    <w:rsid w:val="636F415C"/>
    <w:rsid w:val="63D22876"/>
    <w:rsid w:val="646E2E54"/>
    <w:rsid w:val="64917820"/>
    <w:rsid w:val="64AA1CC5"/>
    <w:rsid w:val="6528341F"/>
    <w:rsid w:val="656B2909"/>
    <w:rsid w:val="657E329D"/>
    <w:rsid w:val="65A3045D"/>
    <w:rsid w:val="65D97752"/>
    <w:rsid w:val="65E25E59"/>
    <w:rsid w:val="66307F76"/>
    <w:rsid w:val="66580EAF"/>
    <w:rsid w:val="66694D0D"/>
    <w:rsid w:val="667B4472"/>
    <w:rsid w:val="66902C42"/>
    <w:rsid w:val="66F041A8"/>
    <w:rsid w:val="66F3504A"/>
    <w:rsid w:val="6721178A"/>
    <w:rsid w:val="6739399A"/>
    <w:rsid w:val="673F39DE"/>
    <w:rsid w:val="674C5D22"/>
    <w:rsid w:val="67663AF8"/>
    <w:rsid w:val="67762CFD"/>
    <w:rsid w:val="677A678D"/>
    <w:rsid w:val="67AA2321"/>
    <w:rsid w:val="68011379"/>
    <w:rsid w:val="680A7420"/>
    <w:rsid w:val="681E1720"/>
    <w:rsid w:val="68252C37"/>
    <w:rsid w:val="68817BAC"/>
    <w:rsid w:val="689A5E59"/>
    <w:rsid w:val="68A94E70"/>
    <w:rsid w:val="68EE72DF"/>
    <w:rsid w:val="690B4C92"/>
    <w:rsid w:val="69485FEA"/>
    <w:rsid w:val="69677DC0"/>
    <w:rsid w:val="69937EC7"/>
    <w:rsid w:val="69D64558"/>
    <w:rsid w:val="69E3623E"/>
    <w:rsid w:val="6A042548"/>
    <w:rsid w:val="6A471EFD"/>
    <w:rsid w:val="6A775937"/>
    <w:rsid w:val="6AB57116"/>
    <w:rsid w:val="6B0C74AF"/>
    <w:rsid w:val="6B17424A"/>
    <w:rsid w:val="6B2218FA"/>
    <w:rsid w:val="6B570F62"/>
    <w:rsid w:val="6B686C59"/>
    <w:rsid w:val="6B691672"/>
    <w:rsid w:val="6BA17D14"/>
    <w:rsid w:val="6BE97F42"/>
    <w:rsid w:val="6C2063E9"/>
    <w:rsid w:val="6C5E6A51"/>
    <w:rsid w:val="6C6513C3"/>
    <w:rsid w:val="6C744268"/>
    <w:rsid w:val="6C913746"/>
    <w:rsid w:val="6CD62D03"/>
    <w:rsid w:val="6CD817EC"/>
    <w:rsid w:val="6CD97FB6"/>
    <w:rsid w:val="6D0E5050"/>
    <w:rsid w:val="6D4B22B8"/>
    <w:rsid w:val="6D930013"/>
    <w:rsid w:val="6E1A1656"/>
    <w:rsid w:val="6E231DD6"/>
    <w:rsid w:val="6E5A5288"/>
    <w:rsid w:val="6E842F5E"/>
    <w:rsid w:val="6E8E65DD"/>
    <w:rsid w:val="6EE013EE"/>
    <w:rsid w:val="6EE079F1"/>
    <w:rsid w:val="6EE42C42"/>
    <w:rsid w:val="6F240921"/>
    <w:rsid w:val="6F284FFD"/>
    <w:rsid w:val="6F6224EC"/>
    <w:rsid w:val="6F7F7CB0"/>
    <w:rsid w:val="6FE0165C"/>
    <w:rsid w:val="6FE10C44"/>
    <w:rsid w:val="70222744"/>
    <w:rsid w:val="706D25DF"/>
    <w:rsid w:val="706D2B21"/>
    <w:rsid w:val="707B1384"/>
    <w:rsid w:val="70857A34"/>
    <w:rsid w:val="70985D3C"/>
    <w:rsid w:val="71047C73"/>
    <w:rsid w:val="7109004F"/>
    <w:rsid w:val="71103167"/>
    <w:rsid w:val="712E56F7"/>
    <w:rsid w:val="71691ABB"/>
    <w:rsid w:val="71AE1AEA"/>
    <w:rsid w:val="71CF3B6C"/>
    <w:rsid w:val="71F80F33"/>
    <w:rsid w:val="722922C6"/>
    <w:rsid w:val="727176A7"/>
    <w:rsid w:val="72CB03A1"/>
    <w:rsid w:val="73100845"/>
    <w:rsid w:val="732D4B5D"/>
    <w:rsid w:val="73393C88"/>
    <w:rsid w:val="73495E57"/>
    <w:rsid w:val="7362513F"/>
    <w:rsid w:val="73771D49"/>
    <w:rsid w:val="73A1354E"/>
    <w:rsid w:val="73C07959"/>
    <w:rsid w:val="73E035D5"/>
    <w:rsid w:val="7436588D"/>
    <w:rsid w:val="743D0241"/>
    <w:rsid w:val="74A11E7D"/>
    <w:rsid w:val="7550071B"/>
    <w:rsid w:val="75590B0A"/>
    <w:rsid w:val="7582279F"/>
    <w:rsid w:val="75843EB5"/>
    <w:rsid w:val="75912FA2"/>
    <w:rsid w:val="75BB71AF"/>
    <w:rsid w:val="75F01962"/>
    <w:rsid w:val="760E19DF"/>
    <w:rsid w:val="764E52E0"/>
    <w:rsid w:val="76557F3E"/>
    <w:rsid w:val="76676A53"/>
    <w:rsid w:val="76916FF9"/>
    <w:rsid w:val="76944574"/>
    <w:rsid w:val="76A3294D"/>
    <w:rsid w:val="76B620A1"/>
    <w:rsid w:val="76D61240"/>
    <w:rsid w:val="76D766A5"/>
    <w:rsid w:val="76F20814"/>
    <w:rsid w:val="76F92565"/>
    <w:rsid w:val="77462524"/>
    <w:rsid w:val="77501DCD"/>
    <w:rsid w:val="779A6594"/>
    <w:rsid w:val="77A21064"/>
    <w:rsid w:val="77E34EB2"/>
    <w:rsid w:val="781564B8"/>
    <w:rsid w:val="78224ACF"/>
    <w:rsid w:val="7845472A"/>
    <w:rsid w:val="786E1928"/>
    <w:rsid w:val="78CD6DCC"/>
    <w:rsid w:val="78D07CAF"/>
    <w:rsid w:val="78DE12D7"/>
    <w:rsid w:val="79210683"/>
    <w:rsid w:val="798B42E2"/>
    <w:rsid w:val="799C3465"/>
    <w:rsid w:val="79B14EC4"/>
    <w:rsid w:val="7A025270"/>
    <w:rsid w:val="7A2A6B4A"/>
    <w:rsid w:val="7A681070"/>
    <w:rsid w:val="7A860C7C"/>
    <w:rsid w:val="7AB879FE"/>
    <w:rsid w:val="7AE9404C"/>
    <w:rsid w:val="7B3264DD"/>
    <w:rsid w:val="7B81188A"/>
    <w:rsid w:val="7B827630"/>
    <w:rsid w:val="7B9E2902"/>
    <w:rsid w:val="7BC854E2"/>
    <w:rsid w:val="7C0562EC"/>
    <w:rsid w:val="7C067A45"/>
    <w:rsid w:val="7C0D2ED7"/>
    <w:rsid w:val="7C1C072C"/>
    <w:rsid w:val="7C27683F"/>
    <w:rsid w:val="7C8A5545"/>
    <w:rsid w:val="7CB14B4D"/>
    <w:rsid w:val="7CF26969"/>
    <w:rsid w:val="7D25523C"/>
    <w:rsid w:val="7DB23041"/>
    <w:rsid w:val="7DEE2028"/>
    <w:rsid w:val="7E5F7809"/>
    <w:rsid w:val="7ED56C53"/>
    <w:rsid w:val="7EEA1BAF"/>
    <w:rsid w:val="7F2D4C94"/>
    <w:rsid w:val="7F5460D4"/>
    <w:rsid w:val="7F552892"/>
    <w:rsid w:val="7FF83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0" w:semiHidden="0" w:name="List"/>
    <w:lsdException w:uiPriority="99" w:name="List Bullet"/>
    <w:lsdException w:uiPriority="99" w:name="List Number"/>
    <w:lsdException w:qFormat="1"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5"/>
    <w:qFormat/>
    <w:uiPriority w:val="0"/>
    <w:pPr>
      <w:keepNext/>
      <w:keepLines/>
      <w:numPr>
        <w:ilvl w:val="0"/>
        <w:numId w:val="1"/>
      </w:numPr>
      <w:jc w:val="center"/>
      <w:outlineLvl w:val="0"/>
    </w:pPr>
    <w:rPr>
      <w:b/>
      <w:bCs/>
      <w:kern w:val="44"/>
      <w:sz w:val="36"/>
      <w:szCs w:val="44"/>
    </w:rPr>
  </w:style>
  <w:style w:type="paragraph" w:styleId="4">
    <w:name w:val="heading 2"/>
    <w:basedOn w:val="1"/>
    <w:next w:val="1"/>
    <w:link w:val="56"/>
    <w:qFormat/>
    <w:uiPriority w:val="0"/>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7"/>
    <w:unhideWhenUsed/>
    <w:qFormat/>
    <w:uiPriority w:val="0"/>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47"/>
    <w:unhideWhenUsed/>
    <w:qFormat/>
    <w:uiPriority w:val="0"/>
    <w:pPr>
      <w:keepNext/>
      <w:keepLines/>
      <w:spacing w:before="280" w:after="290" w:line="372" w:lineRule="auto"/>
      <w:outlineLvl w:val="3"/>
    </w:pPr>
    <w:rPr>
      <w:rFonts w:ascii="Arial" w:hAnsi="Arial" w:eastAsia="黑体"/>
      <w:b/>
      <w:sz w:val="28"/>
    </w:rPr>
  </w:style>
  <w:style w:type="paragraph" w:styleId="7">
    <w:name w:val="heading 5"/>
    <w:basedOn w:val="1"/>
    <w:next w:val="1"/>
    <w:link w:val="148"/>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43"/>
    <w:unhideWhenUsed/>
    <w:qFormat/>
    <w:uiPriority w:val="9"/>
    <w:pPr>
      <w:keepNext/>
      <w:keepLines/>
      <w:widowControl/>
      <w:spacing w:before="240" w:after="64" w:line="320" w:lineRule="auto"/>
      <w:ind w:firstLine="200" w:firstLineChars="200"/>
      <w:jc w:val="left"/>
      <w:outlineLvl w:val="6"/>
    </w:pPr>
    <w:rPr>
      <w:rFonts w:ascii="Times New Roman" w:hAnsi="Times New Roman" w:eastAsia="宋体" w:cs="Times New Roman"/>
      <w:b/>
      <w:bCs/>
      <w:sz w:val="24"/>
      <w:szCs w:val="24"/>
    </w:rPr>
  </w:style>
  <w:style w:type="paragraph" w:styleId="10">
    <w:name w:val="heading 8"/>
    <w:basedOn w:val="1"/>
    <w:next w:val="1"/>
    <w:link w:val="144"/>
    <w:unhideWhenUsed/>
    <w:qFormat/>
    <w:uiPriority w:val="9"/>
    <w:pPr>
      <w:keepNext/>
      <w:keepLines/>
      <w:widowControl/>
      <w:spacing w:before="240" w:after="64" w:line="320" w:lineRule="auto"/>
      <w:ind w:firstLine="200" w:firstLineChars="200"/>
      <w:jc w:val="left"/>
      <w:outlineLvl w:val="7"/>
    </w:pPr>
    <w:rPr>
      <w:rFonts w:asciiTheme="majorHAnsi" w:hAnsiTheme="majorHAnsi" w:eastAsiaTheme="majorEastAsia" w:cstheme="majorBidi"/>
      <w:sz w:val="24"/>
      <w:szCs w:val="24"/>
    </w:rPr>
  </w:style>
  <w:style w:type="paragraph" w:styleId="11">
    <w:name w:val="heading 9"/>
    <w:basedOn w:val="1"/>
    <w:next w:val="1"/>
    <w:link w:val="145"/>
    <w:semiHidden/>
    <w:unhideWhenUsed/>
    <w:qFormat/>
    <w:uiPriority w:val="9"/>
    <w:pPr>
      <w:keepNext/>
      <w:keepLines/>
      <w:widowControl/>
      <w:spacing w:before="240" w:after="64" w:line="320" w:lineRule="auto"/>
      <w:ind w:firstLine="200" w:firstLineChars="200"/>
      <w:jc w:val="left"/>
      <w:outlineLvl w:val="8"/>
    </w:pPr>
    <w:rPr>
      <w:rFonts w:asciiTheme="majorHAnsi" w:hAnsiTheme="majorHAnsi" w:eastAsiaTheme="majorEastAsia" w:cstheme="majorBidi"/>
      <w:sz w:val="24"/>
      <w:szCs w:val="21"/>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80"/>
    <w:qFormat/>
    <w:uiPriority w:val="0"/>
    <w:rPr>
      <w:rFonts w:ascii="宋体" w:hAnsi="Courier New"/>
    </w:rPr>
  </w:style>
  <w:style w:type="paragraph" w:styleId="12">
    <w:name w:val="toc 7"/>
    <w:basedOn w:val="1"/>
    <w:next w:val="1"/>
    <w:qFormat/>
    <w:uiPriority w:val="39"/>
    <w:pPr>
      <w:ind w:left="1440"/>
      <w:jc w:val="left"/>
    </w:pPr>
    <w:rPr>
      <w:rFonts w:ascii="Calibri" w:hAnsi="Calibri" w:eastAsia="宋体" w:cs="Times New Roman"/>
      <w:sz w:val="18"/>
      <w:szCs w:val="18"/>
    </w:rPr>
  </w:style>
  <w:style w:type="paragraph" w:styleId="13">
    <w:name w:val="Normal Indent"/>
    <w:basedOn w:val="1"/>
    <w:next w:val="1"/>
    <w:qFormat/>
    <w:uiPriority w:val="99"/>
    <w:pPr>
      <w:ind w:firstLine="420" w:firstLineChars="200"/>
    </w:pPr>
    <w:rPr>
      <w:kern w:val="0"/>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8"/>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9"/>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w:basedOn w:val="1"/>
    <w:link w:val="90"/>
    <w:qFormat/>
    <w:uiPriority w:val="0"/>
    <w:pPr>
      <w:adjustRightInd w:val="0"/>
      <w:spacing w:before="120" w:after="120" w:afterLines="50" w:line="280" w:lineRule="atLeast"/>
      <w:textAlignment w:val="baseline"/>
    </w:pPr>
    <w:rPr>
      <w:rFonts w:ascii="Calibri" w:hAnsi="Calibri" w:eastAsia="新宋体" w:cs="Times New Roman"/>
      <w:szCs w:val="21"/>
    </w:rPr>
  </w:style>
  <w:style w:type="paragraph" w:styleId="20">
    <w:name w:val="Body Text Indent"/>
    <w:basedOn w:val="1"/>
    <w:link w:val="87"/>
    <w:qFormat/>
    <w:uiPriority w:val="99"/>
    <w:pPr>
      <w:spacing w:after="120"/>
      <w:ind w:left="420" w:leftChars="200"/>
    </w:pPr>
    <w:rPr>
      <w:rFonts w:ascii="Calibri" w:hAnsi="Calibri" w:eastAsia="宋体" w:cs="Times New Roman"/>
      <w:szCs w:val="20"/>
    </w:rPr>
  </w:style>
  <w:style w:type="paragraph" w:styleId="21">
    <w:name w:val="List 2"/>
    <w:basedOn w:val="1"/>
    <w:semiHidden/>
    <w:unhideWhenUsed/>
    <w:qFormat/>
    <w:uiPriority w:val="99"/>
    <w:pPr>
      <w:widowControl/>
      <w:spacing w:line="360" w:lineRule="auto"/>
      <w:ind w:left="100" w:leftChars="200" w:hanging="200" w:hangingChars="200"/>
      <w:contextualSpacing/>
      <w:jc w:val="left"/>
    </w:pPr>
    <w:rPr>
      <w:rFonts w:ascii="Times New Roman" w:hAnsi="Times New Roman" w:eastAsia="宋体" w:cs="Times New Roman"/>
      <w:sz w:val="24"/>
      <w:szCs w:val="20"/>
    </w:rPr>
  </w:style>
  <w:style w:type="paragraph" w:styleId="22">
    <w:name w:val="index 4"/>
    <w:basedOn w:val="1"/>
    <w:next w:val="1"/>
    <w:qFormat/>
    <w:uiPriority w:val="0"/>
    <w:pPr>
      <w:ind w:left="600" w:leftChars="600"/>
    </w:pPr>
  </w:style>
  <w:style w:type="paragraph" w:styleId="23">
    <w:name w:val="toc 5"/>
    <w:basedOn w:val="1"/>
    <w:next w:val="1"/>
    <w:qFormat/>
    <w:uiPriority w:val="39"/>
    <w:pPr>
      <w:ind w:left="960"/>
      <w:jc w:val="left"/>
    </w:pPr>
    <w:rPr>
      <w:rFonts w:ascii="Calibri" w:hAnsi="Calibri" w:eastAsia="宋体" w:cs="Times New Roman"/>
      <w:sz w:val="18"/>
      <w:szCs w:val="18"/>
    </w:rPr>
  </w:style>
  <w:style w:type="paragraph" w:styleId="24">
    <w:name w:val="toc 3"/>
    <w:basedOn w:val="1"/>
    <w:next w:val="1"/>
    <w:qFormat/>
    <w:uiPriority w:val="39"/>
    <w:pPr>
      <w:ind w:left="480"/>
      <w:jc w:val="left"/>
    </w:pPr>
    <w:rPr>
      <w:rFonts w:ascii="Calibri" w:hAnsi="Calibri" w:eastAsia="宋体" w:cs="Times New Roman"/>
      <w:i/>
      <w:iCs/>
      <w:sz w:val="20"/>
      <w:szCs w:val="20"/>
    </w:rPr>
  </w:style>
  <w:style w:type="paragraph" w:styleId="25">
    <w:name w:val="toc 8"/>
    <w:basedOn w:val="1"/>
    <w:next w:val="1"/>
    <w:qFormat/>
    <w:uiPriority w:val="39"/>
    <w:pPr>
      <w:ind w:left="1680"/>
      <w:jc w:val="left"/>
    </w:pPr>
    <w:rPr>
      <w:rFonts w:ascii="Calibri" w:hAnsi="Calibri" w:eastAsia="宋体" w:cs="Times New Roman"/>
      <w:sz w:val="18"/>
      <w:szCs w:val="18"/>
    </w:rPr>
  </w:style>
  <w:style w:type="paragraph" w:styleId="26">
    <w:name w:val="Date"/>
    <w:basedOn w:val="1"/>
    <w:next w:val="1"/>
    <w:link w:val="71"/>
    <w:qFormat/>
    <w:uiPriority w:val="0"/>
    <w:pPr>
      <w:ind w:left="100" w:leftChars="2500"/>
    </w:pPr>
    <w:rPr>
      <w:sz w:val="24"/>
    </w:rPr>
  </w:style>
  <w:style w:type="paragraph" w:styleId="27">
    <w:name w:val="Body Text Indent 2"/>
    <w:basedOn w:val="1"/>
    <w:link w:val="59"/>
    <w:qFormat/>
    <w:uiPriority w:val="0"/>
    <w:pPr>
      <w:spacing w:after="120" w:line="480" w:lineRule="auto"/>
      <w:ind w:left="420" w:leftChars="200"/>
    </w:pPr>
  </w:style>
  <w:style w:type="paragraph" w:styleId="28">
    <w:name w:val="Balloon Text"/>
    <w:basedOn w:val="1"/>
    <w:link w:val="75"/>
    <w:qFormat/>
    <w:uiPriority w:val="0"/>
    <w:rPr>
      <w:sz w:val="18"/>
    </w:rPr>
  </w:style>
  <w:style w:type="paragraph" w:styleId="29">
    <w:name w:val="footer"/>
    <w:basedOn w:val="1"/>
    <w:link w:val="81"/>
    <w:qFormat/>
    <w:uiPriority w:val="0"/>
    <w:pPr>
      <w:tabs>
        <w:tab w:val="center" w:pos="4153"/>
        <w:tab w:val="right" w:pos="8306"/>
      </w:tabs>
      <w:snapToGrid w:val="0"/>
      <w:jc w:val="left"/>
    </w:pPr>
    <w:rPr>
      <w:sz w:val="18"/>
    </w:rPr>
  </w:style>
  <w:style w:type="paragraph" w:styleId="30">
    <w:name w:val="header"/>
    <w:basedOn w:val="1"/>
    <w:link w:val="67"/>
    <w:qFormat/>
    <w:uiPriority w:val="0"/>
    <w:pPr>
      <w:pBdr>
        <w:bottom w:val="single" w:color="auto" w:sz="6" w:space="1"/>
      </w:pBdr>
      <w:tabs>
        <w:tab w:val="center" w:pos="4153"/>
        <w:tab w:val="right" w:pos="8306"/>
      </w:tabs>
      <w:snapToGrid w:val="0"/>
      <w:jc w:val="center"/>
    </w:pPr>
    <w:rPr>
      <w:sz w:val="18"/>
    </w:rPr>
  </w:style>
  <w:style w:type="paragraph" w:styleId="31">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2">
    <w:name w:val="toc 4"/>
    <w:basedOn w:val="1"/>
    <w:next w:val="1"/>
    <w:qFormat/>
    <w:uiPriority w:val="39"/>
    <w:pPr>
      <w:ind w:left="720"/>
      <w:jc w:val="left"/>
    </w:pPr>
    <w:rPr>
      <w:rFonts w:ascii="Calibri" w:hAnsi="Calibri" w:eastAsia="宋体" w:cs="Times New Roman"/>
      <w:sz w:val="18"/>
      <w:szCs w:val="18"/>
    </w:rPr>
  </w:style>
  <w:style w:type="paragraph" w:styleId="33">
    <w:name w:val="Subtitle"/>
    <w:basedOn w:val="1"/>
    <w:next w:val="1"/>
    <w:qFormat/>
    <w:uiPriority w:val="0"/>
    <w:pPr>
      <w:spacing w:line="360" w:lineRule="auto"/>
      <w:ind w:firstLine="200" w:firstLineChars="200"/>
      <w:outlineLvl w:val="1"/>
    </w:pPr>
    <w:rPr>
      <w:rFonts w:ascii="宋体" w:eastAsia="宋体"/>
      <w:bCs/>
      <w:kern w:val="28"/>
      <w:sz w:val="24"/>
      <w:szCs w:val="32"/>
    </w:rPr>
  </w:style>
  <w:style w:type="paragraph" w:styleId="34">
    <w:name w:val="List"/>
    <w:basedOn w:val="1"/>
    <w:link w:val="158"/>
    <w:qFormat/>
    <w:uiPriority w:val="0"/>
    <w:pPr>
      <w:ind w:left="420" w:hanging="420"/>
    </w:pPr>
    <w:rPr>
      <w:rFonts w:ascii="Times New Roman" w:hAnsi="Times New Roman" w:eastAsia="宋体" w:cs="Times New Roman"/>
      <w:szCs w:val="20"/>
    </w:rPr>
  </w:style>
  <w:style w:type="paragraph" w:styleId="35">
    <w:name w:val="toc 6"/>
    <w:basedOn w:val="1"/>
    <w:next w:val="1"/>
    <w:qFormat/>
    <w:uiPriority w:val="39"/>
    <w:pPr>
      <w:ind w:left="1200"/>
      <w:jc w:val="left"/>
    </w:pPr>
    <w:rPr>
      <w:rFonts w:ascii="Calibri" w:hAnsi="Calibri" w:eastAsia="宋体" w:cs="Times New Roman"/>
      <w:sz w:val="18"/>
      <w:szCs w:val="18"/>
    </w:rPr>
  </w:style>
  <w:style w:type="paragraph" w:styleId="36">
    <w:name w:val="Body Text Indent 3"/>
    <w:basedOn w:val="1"/>
    <w:link w:val="61"/>
    <w:qFormat/>
    <w:uiPriority w:val="0"/>
    <w:pPr>
      <w:spacing w:after="120"/>
      <w:ind w:left="420" w:leftChars="200"/>
    </w:pPr>
    <w:rPr>
      <w:sz w:val="16"/>
    </w:rPr>
  </w:style>
  <w:style w:type="paragraph" w:styleId="37">
    <w:name w:val="index 9"/>
    <w:basedOn w:val="1"/>
    <w:next w:val="1"/>
    <w:unhideWhenUsed/>
    <w:qFormat/>
    <w:uiPriority w:val="0"/>
    <w:pPr>
      <w:ind w:left="2520" w:hanging="280"/>
    </w:pPr>
    <w:rPr>
      <w:rFonts w:eastAsia="仿宋"/>
      <w:sz w:val="28"/>
    </w:rPr>
  </w:style>
  <w:style w:type="paragraph" w:styleId="38">
    <w:name w:val="toc 2"/>
    <w:basedOn w:val="1"/>
    <w:next w:val="1"/>
    <w:unhideWhenUsed/>
    <w:qFormat/>
    <w:uiPriority w:val="39"/>
    <w:pPr>
      <w:ind w:left="420" w:leftChars="200"/>
    </w:pPr>
    <w:rPr>
      <w:rFonts w:ascii="Calibri" w:hAnsi="Calibri" w:eastAsia="宋体" w:cs="Times New Roman"/>
      <w:szCs w:val="20"/>
    </w:rPr>
  </w:style>
  <w:style w:type="paragraph" w:styleId="39">
    <w:name w:val="toc 9"/>
    <w:basedOn w:val="1"/>
    <w:next w:val="1"/>
    <w:qFormat/>
    <w:uiPriority w:val="39"/>
    <w:pPr>
      <w:ind w:left="1920"/>
      <w:jc w:val="left"/>
    </w:pPr>
    <w:rPr>
      <w:rFonts w:ascii="Calibri" w:hAnsi="Calibri" w:eastAsia="宋体" w:cs="Times New Roman"/>
      <w:sz w:val="18"/>
      <w:szCs w:val="18"/>
    </w:rPr>
  </w:style>
  <w:style w:type="paragraph" w:styleId="40">
    <w:name w:val="Normal (Web)"/>
    <w:basedOn w:val="1"/>
    <w:qFormat/>
    <w:uiPriority w:val="99"/>
    <w:rPr>
      <w:rFonts w:ascii="Calibri" w:hAnsi="Calibri" w:eastAsia="宋体" w:cs="Times New Roman"/>
      <w:sz w:val="24"/>
      <w:szCs w:val="20"/>
    </w:rPr>
  </w:style>
  <w:style w:type="paragraph" w:styleId="41">
    <w:name w:val="index 1"/>
    <w:basedOn w:val="1"/>
    <w:next w:val="1"/>
    <w:qFormat/>
    <w:uiPriority w:val="99"/>
    <w:rPr>
      <w:rFonts w:ascii="Calibri" w:hAnsi="Calibri" w:eastAsia="宋体" w:cs="Times New Roman"/>
      <w:sz w:val="24"/>
      <w:szCs w:val="24"/>
    </w:rPr>
  </w:style>
  <w:style w:type="paragraph" w:styleId="42">
    <w:name w:val="Title"/>
    <w:basedOn w:val="1"/>
    <w:next w:val="1"/>
    <w:link w:val="70"/>
    <w:qFormat/>
    <w:uiPriority w:val="0"/>
    <w:pPr>
      <w:spacing w:before="160" w:after="40" w:line="240" w:lineRule="atLeast"/>
      <w:ind w:left="425" w:hanging="425"/>
      <w:jc w:val="center"/>
      <w:outlineLvl w:val="0"/>
    </w:pPr>
    <w:rPr>
      <w:rFonts w:ascii="Arial" w:hAnsi="Arial"/>
      <w:b/>
      <w:sz w:val="32"/>
    </w:rPr>
  </w:style>
  <w:style w:type="paragraph" w:styleId="43">
    <w:name w:val="annotation subject"/>
    <w:basedOn w:val="17"/>
    <w:next w:val="17"/>
    <w:link w:val="60"/>
    <w:qFormat/>
    <w:uiPriority w:val="0"/>
    <w:rPr>
      <w:b/>
    </w:rPr>
  </w:style>
  <w:style w:type="paragraph" w:styleId="44">
    <w:name w:val="Body Text First Indent 2"/>
    <w:basedOn w:val="20"/>
    <w:semiHidden/>
    <w:qFormat/>
    <w:uiPriority w:val="99"/>
    <w:pPr>
      <w:spacing w:line="276" w:lineRule="auto"/>
      <w:ind w:firstLine="420" w:firstLineChars="200"/>
      <w:jc w:val="left"/>
    </w:pPr>
  </w:style>
  <w:style w:type="table" w:styleId="46">
    <w:name w:val="Table Grid"/>
    <w:basedOn w:val="4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basedOn w:val="47"/>
    <w:qFormat/>
    <w:uiPriority w:val="22"/>
    <w:rPr>
      <w:b/>
    </w:rPr>
  </w:style>
  <w:style w:type="character" w:styleId="49">
    <w:name w:val="page number"/>
    <w:basedOn w:val="47"/>
    <w:qFormat/>
    <w:uiPriority w:val="99"/>
    <w:rPr>
      <w:rFonts w:cs="Times New Roman"/>
    </w:rPr>
  </w:style>
  <w:style w:type="character" w:styleId="50">
    <w:name w:val="FollowedHyperlink"/>
    <w:basedOn w:val="47"/>
    <w:qFormat/>
    <w:uiPriority w:val="99"/>
    <w:rPr>
      <w:color w:val="800080"/>
      <w:u w:val="single"/>
    </w:rPr>
  </w:style>
  <w:style w:type="character" w:styleId="51">
    <w:name w:val="Emphasis"/>
    <w:qFormat/>
    <w:uiPriority w:val="99"/>
    <w:rPr>
      <w:rFonts w:cs="Times New Roman"/>
      <w:color w:val="auto"/>
    </w:rPr>
  </w:style>
  <w:style w:type="character" w:styleId="52">
    <w:name w:val="HTML Acronym"/>
    <w:basedOn w:val="47"/>
    <w:qFormat/>
    <w:uiPriority w:val="99"/>
  </w:style>
  <w:style w:type="character" w:styleId="53">
    <w:name w:val="Hyperlink"/>
    <w:basedOn w:val="47"/>
    <w:qFormat/>
    <w:uiPriority w:val="99"/>
    <w:rPr>
      <w:color w:val="1F4F88"/>
      <w:u w:val="none"/>
    </w:rPr>
  </w:style>
  <w:style w:type="character" w:styleId="54">
    <w:name w:val="annotation reference"/>
    <w:basedOn w:val="47"/>
    <w:qFormat/>
    <w:uiPriority w:val="0"/>
    <w:rPr>
      <w:sz w:val="21"/>
    </w:rPr>
  </w:style>
  <w:style w:type="character" w:customStyle="1" w:styleId="55">
    <w:name w:val="标题 1 字符"/>
    <w:basedOn w:val="47"/>
    <w:link w:val="3"/>
    <w:qFormat/>
    <w:uiPriority w:val="0"/>
    <w:rPr>
      <w:rFonts w:asciiTheme="minorHAnsi" w:hAnsiTheme="minorHAnsi" w:eastAsiaTheme="minorEastAsia" w:cstheme="minorBidi"/>
      <w:b/>
      <w:bCs/>
      <w:kern w:val="44"/>
      <w:sz w:val="36"/>
      <w:szCs w:val="44"/>
    </w:rPr>
  </w:style>
  <w:style w:type="character" w:customStyle="1" w:styleId="56">
    <w:name w:val="标题 2 字符"/>
    <w:basedOn w:val="47"/>
    <w:link w:val="4"/>
    <w:qFormat/>
    <w:uiPriority w:val="0"/>
    <w:rPr>
      <w:rFonts w:ascii="Arial" w:hAnsi="Arial" w:eastAsia="宋体" w:cs="Times New Roman"/>
      <w:b/>
      <w:bCs/>
      <w:sz w:val="24"/>
      <w:szCs w:val="32"/>
    </w:rPr>
  </w:style>
  <w:style w:type="character" w:customStyle="1" w:styleId="57">
    <w:name w:val="标题 3 字符"/>
    <w:basedOn w:val="47"/>
    <w:link w:val="5"/>
    <w:qFormat/>
    <w:uiPriority w:val="0"/>
    <w:rPr>
      <w:rFonts w:ascii="Calibri" w:hAnsi="Calibri" w:eastAsia="宋体" w:cs="Times New Roman"/>
      <w:b/>
      <w:bCs/>
      <w:sz w:val="32"/>
      <w:szCs w:val="32"/>
    </w:rPr>
  </w:style>
  <w:style w:type="character" w:customStyle="1" w:styleId="58">
    <w:name w:val="Char Char3"/>
    <w:qFormat/>
    <w:uiPriority w:val="0"/>
    <w:rPr>
      <w:rFonts w:ascii="宋体" w:hAnsi="Courier New" w:eastAsia="宋体"/>
      <w:kern w:val="2"/>
      <w:sz w:val="21"/>
      <w:lang w:val="en-US" w:eastAsia="zh-CN"/>
    </w:rPr>
  </w:style>
  <w:style w:type="character" w:customStyle="1" w:styleId="59">
    <w:name w:val="正文文本缩进 2 字符"/>
    <w:link w:val="27"/>
    <w:qFormat/>
    <w:locked/>
    <w:uiPriority w:val="0"/>
  </w:style>
  <w:style w:type="character" w:customStyle="1" w:styleId="60">
    <w:name w:val="批注主题 字符"/>
    <w:link w:val="43"/>
    <w:qFormat/>
    <w:locked/>
    <w:uiPriority w:val="0"/>
    <w:rPr>
      <w:b/>
    </w:rPr>
  </w:style>
  <w:style w:type="character" w:customStyle="1" w:styleId="61">
    <w:name w:val="正文文本缩进 3 字符"/>
    <w:link w:val="36"/>
    <w:qFormat/>
    <w:locked/>
    <w:uiPriority w:val="0"/>
    <w:rPr>
      <w:sz w:val="16"/>
    </w:rPr>
  </w:style>
  <w:style w:type="character" w:customStyle="1" w:styleId="62">
    <w:name w:val="纯文本 Char"/>
    <w:qFormat/>
    <w:uiPriority w:val="0"/>
    <w:rPr>
      <w:rFonts w:ascii="宋体" w:hAnsi="Courier New" w:eastAsia="宋体"/>
      <w:kern w:val="2"/>
      <w:sz w:val="21"/>
      <w:lang w:val="en-US" w:eastAsia="zh-CN"/>
    </w:rPr>
  </w:style>
  <w:style w:type="character" w:customStyle="1" w:styleId="63">
    <w:name w:val="Char Char2"/>
    <w:qFormat/>
    <w:uiPriority w:val="0"/>
    <w:rPr>
      <w:rFonts w:ascii="宋体" w:hAnsi="Courier New"/>
      <w:kern w:val="2"/>
      <w:sz w:val="21"/>
    </w:rPr>
  </w:style>
  <w:style w:type="character" w:customStyle="1" w:styleId="64">
    <w:name w:val="列出段落 字符"/>
    <w:link w:val="65"/>
    <w:qFormat/>
    <w:locked/>
    <w:uiPriority w:val="34"/>
    <w:rPr>
      <w:sz w:val="22"/>
    </w:rPr>
  </w:style>
  <w:style w:type="paragraph" w:customStyle="1" w:styleId="65">
    <w:name w:val="列出段落1"/>
    <w:basedOn w:val="1"/>
    <w:link w:val="64"/>
    <w:qFormat/>
    <w:uiPriority w:val="34"/>
    <w:pPr>
      <w:ind w:firstLine="420" w:firstLineChars="200"/>
    </w:pPr>
    <w:rPr>
      <w:sz w:val="22"/>
    </w:rPr>
  </w:style>
  <w:style w:type="character" w:customStyle="1" w:styleId="66">
    <w:name w:val="apple-converted-space"/>
    <w:basedOn w:val="47"/>
    <w:qFormat/>
    <w:uiPriority w:val="0"/>
    <w:rPr>
      <w:rFonts w:cs="Times New Roman"/>
    </w:rPr>
  </w:style>
  <w:style w:type="character" w:customStyle="1" w:styleId="67">
    <w:name w:val="页眉 字符"/>
    <w:link w:val="30"/>
    <w:qFormat/>
    <w:locked/>
    <w:uiPriority w:val="0"/>
    <w:rPr>
      <w:sz w:val="18"/>
    </w:rPr>
  </w:style>
  <w:style w:type="character" w:customStyle="1" w:styleId="68">
    <w:name w:val="BODY TEXT Char"/>
    <w:qFormat/>
    <w:locked/>
    <w:uiPriority w:val="0"/>
    <w:rPr>
      <w:rFonts w:eastAsia="新宋体"/>
      <w:kern w:val="2"/>
      <w:sz w:val="21"/>
    </w:rPr>
  </w:style>
  <w:style w:type="character" w:customStyle="1" w:styleId="69">
    <w:name w:val="批注文字 字符"/>
    <w:link w:val="17"/>
    <w:qFormat/>
    <w:locked/>
    <w:uiPriority w:val="0"/>
  </w:style>
  <w:style w:type="character" w:customStyle="1" w:styleId="70">
    <w:name w:val="标题 字符"/>
    <w:link w:val="42"/>
    <w:qFormat/>
    <w:locked/>
    <w:uiPriority w:val="0"/>
    <w:rPr>
      <w:rFonts w:ascii="Arial" w:hAnsi="Arial"/>
      <w:b/>
      <w:sz w:val="32"/>
    </w:rPr>
  </w:style>
  <w:style w:type="character" w:customStyle="1" w:styleId="71">
    <w:name w:val="日期 字符"/>
    <w:link w:val="26"/>
    <w:qFormat/>
    <w:locked/>
    <w:uiPriority w:val="0"/>
    <w:rPr>
      <w:sz w:val="24"/>
    </w:rPr>
  </w:style>
  <w:style w:type="character" w:customStyle="1" w:styleId="72">
    <w:name w:val="ATXT_Bullets Zchn"/>
    <w:link w:val="73"/>
    <w:qFormat/>
    <w:locked/>
    <w:uiPriority w:val="99"/>
    <w:rPr>
      <w:rFonts w:ascii="Arial" w:hAnsi="Arial"/>
      <w:lang w:val="de-AT" w:eastAsia="zh-CN"/>
    </w:rPr>
  </w:style>
  <w:style w:type="paragraph" w:customStyle="1" w:styleId="73">
    <w:name w:val="ATXT_Bullets"/>
    <w:link w:val="7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4">
    <w:name w:val="Char Char5"/>
    <w:qFormat/>
    <w:uiPriority w:val="0"/>
    <w:rPr>
      <w:rFonts w:ascii="宋体" w:hAnsi="Courier New" w:eastAsia="宋体"/>
      <w:kern w:val="2"/>
      <w:sz w:val="21"/>
      <w:lang w:val="en-US" w:eastAsia="zh-CN"/>
    </w:rPr>
  </w:style>
  <w:style w:type="character" w:customStyle="1" w:styleId="75">
    <w:name w:val="批注框文本 字符"/>
    <w:link w:val="28"/>
    <w:qFormat/>
    <w:locked/>
    <w:uiPriority w:val="0"/>
    <w:rPr>
      <w:sz w:val="18"/>
    </w:rPr>
  </w:style>
  <w:style w:type="character" w:customStyle="1" w:styleId="76">
    <w:name w:val="批注文字 Char"/>
    <w:qFormat/>
    <w:uiPriority w:val="0"/>
    <w:rPr>
      <w:kern w:val="2"/>
    </w:rPr>
  </w:style>
  <w:style w:type="character" w:customStyle="1" w:styleId="77">
    <w:name w:val="批注主题 Char"/>
    <w:qFormat/>
    <w:uiPriority w:val="0"/>
    <w:rPr>
      <w:b/>
      <w:kern w:val="2"/>
    </w:rPr>
  </w:style>
  <w:style w:type="character" w:customStyle="1" w:styleId="78">
    <w:name w:val="文档结构图 字符"/>
    <w:link w:val="15"/>
    <w:qFormat/>
    <w:locked/>
    <w:uiPriority w:val="0"/>
    <w:rPr>
      <w:sz w:val="24"/>
      <w:shd w:val="clear" w:color="auto" w:fill="000080"/>
    </w:rPr>
  </w:style>
  <w:style w:type="character" w:customStyle="1" w:styleId="79">
    <w:name w:val="HTML Markup"/>
    <w:qFormat/>
    <w:uiPriority w:val="0"/>
    <w:rPr>
      <w:vanish/>
      <w:color w:val="FF0000"/>
    </w:rPr>
  </w:style>
  <w:style w:type="character" w:customStyle="1" w:styleId="80">
    <w:name w:val="纯文本 字符"/>
    <w:link w:val="2"/>
    <w:qFormat/>
    <w:locked/>
    <w:uiPriority w:val="0"/>
    <w:rPr>
      <w:rFonts w:ascii="宋体" w:hAnsi="Courier New"/>
    </w:rPr>
  </w:style>
  <w:style w:type="character" w:customStyle="1" w:styleId="81">
    <w:name w:val="页脚 字符"/>
    <w:link w:val="29"/>
    <w:qFormat/>
    <w:locked/>
    <w:uiPriority w:val="0"/>
    <w:rPr>
      <w:sz w:val="18"/>
    </w:rPr>
  </w:style>
  <w:style w:type="character" w:customStyle="1" w:styleId="82">
    <w:name w:val="Default Char"/>
    <w:link w:val="83"/>
    <w:qFormat/>
    <w:locked/>
    <w:uiPriority w:val="0"/>
    <w:rPr>
      <w:rFonts w:ascii="仿宋_GB2312" w:eastAsia="仿宋_GB2312"/>
      <w:color w:val="000000"/>
      <w:sz w:val="24"/>
    </w:rPr>
  </w:style>
  <w:style w:type="paragraph" w:customStyle="1" w:styleId="83">
    <w:name w:val="Default"/>
    <w:link w:val="8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4">
    <w:name w:val="页脚 Char"/>
    <w:qFormat/>
    <w:locked/>
    <w:uiPriority w:val="99"/>
    <w:rPr>
      <w:sz w:val="18"/>
    </w:rPr>
  </w:style>
  <w:style w:type="character" w:customStyle="1" w:styleId="85">
    <w:name w:val="批注文字 字符1"/>
    <w:basedOn w:val="47"/>
    <w:semiHidden/>
    <w:qFormat/>
    <w:uiPriority w:val="99"/>
  </w:style>
  <w:style w:type="character" w:customStyle="1" w:styleId="86">
    <w:name w:val="批注文字 字符11"/>
    <w:basedOn w:val="47"/>
    <w:qFormat/>
    <w:uiPriority w:val="0"/>
    <w:rPr>
      <w:rFonts w:cs="Times New Roman"/>
      <w:kern w:val="2"/>
      <w:sz w:val="21"/>
    </w:rPr>
  </w:style>
  <w:style w:type="character" w:customStyle="1" w:styleId="87">
    <w:name w:val="正文文本缩进 字符"/>
    <w:basedOn w:val="47"/>
    <w:link w:val="20"/>
    <w:qFormat/>
    <w:uiPriority w:val="99"/>
    <w:rPr>
      <w:rFonts w:ascii="Calibri" w:hAnsi="Calibri" w:eastAsia="宋体" w:cs="Times New Roman"/>
      <w:szCs w:val="20"/>
    </w:rPr>
  </w:style>
  <w:style w:type="character" w:customStyle="1" w:styleId="88">
    <w:name w:val="文档结构图 字符1"/>
    <w:basedOn w:val="47"/>
    <w:semiHidden/>
    <w:qFormat/>
    <w:uiPriority w:val="99"/>
    <w:rPr>
      <w:rFonts w:ascii="Microsoft YaHei UI" w:eastAsia="Microsoft YaHei UI"/>
      <w:sz w:val="18"/>
      <w:szCs w:val="18"/>
    </w:rPr>
  </w:style>
  <w:style w:type="character" w:customStyle="1" w:styleId="89">
    <w:name w:val="文档结构图 字符11"/>
    <w:basedOn w:val="47"/>
    <w:semiHidden/>
    <w:qFormat/>
    <w:uiPriority w:val="99"/>
    <w:rPr>
      <w:rFonts w:ascii="Microsoft YaHei UI" w:eastAsia="Microsoft YaHei UI" w:cs="Times New Roman"/>
      <w:kern w:val="2"/>
      <w:sz w:val="18"/>
      <w:szCs w:val="18"/>
    </w:rPr>
  </w:style>
  <w:style w:type="character" w:customStyle="1" w:styleId="90">
    <w:name w:val="正文文本 字符"/>
    <w:basedOn w:val="47"/>
    <w:link w:val="19"/>
    <w:qFormat/>
    <w:uiPriority w:val="0"/>
    <w:rPr>
      <w:rFonts w:ascii="Calibri" w:hAnsi="Calibri" w:eastAsia="新宋体" w:cs="Times New Roman"/>
      <w:szCs w:val="21"/>
    </w:rPr>
  </w:style>
  <w:style w:type="character" w:customStyle="1" w:styleId="91">
    <w:name w:val="纯文本 字符1"/>
    <w:basedOn w:val="47"/>
    <w:semiHidden/>
    <w:qFormat/>
    <w:uiPriority w:val="99"/>
    <w:rPr>
      <w:rFonts w:hAnsi="Courier New" w:cs="Courier New" w:asciiTheme="minorEastAsia"/>
    </w:rPr>
  </w:style>
  <w:style w:type="character" w:customStyle="1" w:styleId="92">
    <w:name w:val="纯文本 字符11"/>
    <w:basedOn w:val="47"/>
    <w:qFormat/>
    <w:uiPriority w:val="0"/>
    <w:rPr>
      <w:rFonts w:hAnsi="Courier New" w:cs="Courier New" w:asciiTheme="minorEastAsia" w:eastAsiaTheme="minorEastAsia"/>
      <w:kern w:val="2"/>
      <w:sz w:val="21"/>
    </w:rPr>
  </w:style>
  <w:style w:type="character" w:customStyle="1" w:styleId="93">
    <w:name w:val="页眉 字符1"/>
    <w:basedOn w:val="47"/>
    <w:semiHidden/>
    <w:qFormat/>
    <w:uiPriority w:val="99"/>
    <w:rPr>
      <w:sz w:val="18"/>
      <w:szCs w:val="18"/>
    </w:rPr>
  </w:style>
  <w:style w:type="character" w:customStyle="1" w:styleId="94">
    <w:name w:val="页眉 字符11"/>
    <w:basedOn w:val="47"/>
    <w:semiHidden/>
    <w:qFormat/>
    <w:uiPriority w:val="99"/>
    <w:rPr>
      <w:rFonts w:cs="Times New Roman"/>
      <w:kern w:val="2"/>
      <w:sz w:val="18"/>
      <w:szCs w:val="18"/>
    </w:rPr>
  </w:style>
  <w:style w:type="character" w:customStyle="1" w:styleId="95">
    <w:name w:val="批注框文本 字符1"/>
    <w:basedOn w:val="47"/>
    <w:semiHidden/>
    <w:qFormat/>
    <w:uiPriority w:val="99"/>
    <w:rPr>
      <w:sz w:val="18"/>
      <w:szCs w:val="18"/>
    </w:rPr>
  </w:style>
  <w:style w:type="character" w:customStyle="1" w:styleId="96">
    <w:name w:val="批注框文本 字符11"/>
    <w:basedOn w:val="47"/>
    <w:semiHidden/>
    <w:qFormat/>
    <w:uiPriority w:val="99"/>
    <w:rPr>
      <w:rFonts w:cs="Times New Roman"/>
      <w:kern w:val="2"/>
      <w:sz w:val="18"/>
      <w:szCs w:val="18"/>
    </w:rPr>
  </w:style>
  <w:style w:type="character" w:customStyle="1" w:styleId="97">
    <w:name w:val="日期 字符1"/>
    <w:basedOn w:val="47"/>
    <w:semiHidden/>
    <w:qFormat/>
    <w:uiPriority w:val="99"/>
  </w:style>
  <w:style w:type="character" w:customStyle="1" w:styleId="98">
    <w:name w:val="日期 字符11"/>
    <w:basedOn w:val="47"/>
    <w:semiHidden/>
    <w:qFormat/>
    <w:uiPriority w:val="99"/>
    <w:rPr>
      <w:rFonts w:cs="Times New Roman"/>
      <w:kern w:val="2"/>
      <w:sz w:val="21"/>
    </w:rPr>
  </w:style>
  <w:style w:type="character" w:customStyle="1" w:styleId="99">
    <w:name w:val="页脚 字符1"/>
    <w:basedOn w:val="47"/>
    <w:semiHidden/>
    <w:qFormat/>
    <w:uiPriority w:val="99"/>
    <w:rPr>
      <w:sz w:val="18"/>
      <w:szCs w:val="18"/>
    </w:rPr>
  </w:style>
  <w:style w:type="character" w:customStyle="1" w:styleId="100">
    <w:name w:val="页脚 字符11"/>
    <w:basedOn w:val="47"/>
    <w:semiHidden/>
    <w:qFormat/>
    <w:uiPriority w:val="99"/>
    <w:rPr>
      <w:rFonts w:cs="Times New Roman"/>
      <w:kern w:val="2"/>
      <w:sz w:val="18"/>
      <w:szCs w:val="18"/>
    </w:rPr>
  </w:style>
  <w:style w:type="character" w:customStyle="1" w:styleId="101">
    <w:name w:val="正文文本缩进 2 字符1"/>
    <w:basedOn w:val="47"/>
    <w:semiHidden/>
    <w:qFormat/>
    <w:uiPriority w:val="99"/>
  </w:style>
  <w:style w:type="character" w:customStyle="1" w:styleId="102">
    <w:name w:val="正文文本缩进 2 字符11"/>
    <w:basedOn w:val="47"/>
    <w:semiHidden/>
    <w:qFormat/>
    <w:uiPriority w:val="99"/>
    <w:rPr>
      <w:rFonts w:cs="Times New Roman"/>
      <w:kern w:val="2"/>
      <w:sz w:val="21"/>
    </w:rPr>
  </w:style>
  <w:style w:type="character" w:customStyle="1" w:styleId="103">
    <w:name w:val="正文文本缩进 3 字符1"/>
    <w:basedOn w:val="47"/>
    <w:semiHidden/>
    <w:qFormat/>
    <w:uiPriority w:val="99"/>
    <w:rPr>
      <w:sz w:val="16"/>
      <w:szCs w:val="16"/>
    </w:rPr>
  </w:style>
  <w:style w:type="character" w:customStyle="1" w:styleId="104">
    <w:name w:val="正文文本缩进 3 字符11"/>
    <w:basedOn w:val="47"/>
    <w:semiHidden/>
    <w:qFormat/>
    <w:uiPriority w:val="99"/>
    <w:rPr>
      <w:rFonts w:cs="Times New Roman"/>
      <w:kern w:val="2"/>
      <w:sz w:val="16"/>
      <w:szCs w:val="16"/>
    </w:rPr>
  </w:style>
  <w:style w:type="character" w:customStyle="1" w:styleId="105">
    <w:name w:val="批注主题 字符1"/>
    <w:basedOn w:val="85"/>
    <w:semiHidden/>
    <w:qFormat/>
    <w:uiPriority w:val="99"/>
    <w:rPr>
      <w:b/>
      <w:bCs/>
    </w:rPr>
  </w:style>
  <w:style w:type="character" w:customStyle="1" w:styleId="106">
    <w:name w:val="批注主题 字符11"/>
    <w:basedOn w:val="86"/>
    <w:semiHidden/>
    <w:qFormat/>
    <w:uiPriority w:val="99"/>
    <w:rPr>
      <w:rFonts w:cs="Times New Roman"/>
      <w:b/>
      <w:bCs/>
      <w:kern w:val="2"/>
      <w:sz w:val="21"/>
    </w:rPr>
  </w:style>
  <w:style w:type="character" w:customStyle="1" w:styleId="107">
    <w:name w:val="标题 字符1"/>
    <w:basedOn w:val="47"/>
    <w:qFormat/>
    <w:uiPriority w:val="10"/>
    <w:rPr>
      <w:rFonts w:asciiTheme="majorHAnsi" w:hAnsiTheme="majorHAnsi" w:eastAsiaTheme="majorEastAsia" w:cstheme="majorBidi"/>
      <w:b/>
      <w:bCs/>
      <w:sz w:val="32"/>
      <w:szCs w:val="32"/>
    </w:rPr>
  </w:style>
  <w:style w:type="character" w:customStyle="1" w:styleId="108">
    <w:name w:val="标题 字符11"/>
    <w:basedOn w:val="47"/>
    <w:qFormat/>
    <w:uiPriority w:val="10"/>
    <w:rPr>
      <w:rFonts w:cs="Times New Roman" w:asciiTheme="majorHAnsi" w:hAnsiTheme="majorHAnsi" w:eastAsiaTheme="majorEastAsia"/>
      <w:b/>
      <w:bCs/>
      <w:kern w:val="2"/>
      <w:sz w:val="32"/>
      <w:szCs w:val="32"/>
    </w:rPr>
  </w:style>
  <w:style w:type="paragraph" w:customStyle="1" w:styleId="10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1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11">
    <w:name w:val="二级列表 Char"/>
    <w:basedOn w:val="1"/>
    <w:qFormat/>
    <w:uiPriority w:val="0"/>
    <w:rPr>
      <w:rFonts w:ascii="Calibri" w:hAnsi="Calibri" w:eastAsia="宋体" w:cs="Times New Roman"/>
      <w:szCs w:val="20"/>
    </w:rPr>
  </w:style>
  <w:style w:type="paragraph" w:customStyle="1" w:styleId="11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6">
    <w:name w:val="Char Char Char Char Char Char Char"/>
    <w:basedOn w:val="1"/>
    <w:qFormat/>
    <w:uiPriority w:val="0"/>
    <w:rPr>
      <w:rFonts w:ascii="Verdana" w:hAnsi="Verdana" w:eastAsia="宋体" w:cs="Times New Roman"/>
      <w:kern w:val="0"/>
      <w:sz w:val="20"/>
      <w:szCs w:val="20"/>
      <w:lang w:eastAsia="en-US"/>
    </w:rPr>
  </w:style>
  <w:style w:type="paragraph" w:customStyle="1" w:styleId="11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2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21">
    <w:name w:val="标书正文格式"/>
    <w:basedOn w:val="2"/>
    <w:link w:val="123"/>
    <w:qFormat/>
    <w:uiPriority w:val="0"/>
    <w:pPr>
      <w:spacing w:line="360" w:lineRule="auto"/>
      <w:ind w:firstLine="200" w:firstLineChars="200"/>
    </w:pPr>
    <w:rPr>
      <w:rFonts w:hAnsi="宋体"/>
      <w:color w:val="000000"/>
      <w:sz w:val="24"/>
      <w:szCs w:val="24"/>
    </w:rPr>
  </w:style>
  <w:style w:type="paragraph" w:customStyle="1" w:styleId="122">
    <w:name w:val="标书二级标题"/>
    <w:basedOn w:val="4"/>
    <w:link w:val="125"/>
    <w:qFormat/>
    <w:uiPriority w:val="0"/>
    <w:pPr>
      <w:spacing w:line="240" w:lineRule="auto"/>
      <w:jc w:val="left"/>
    </w:pPr>
    <w:rPr>
      <w:rFonts w:ascii="宋体" w:hAnsi="宋体" w:eastAsia="黑体"/>
      <w:b w:val="0"/>
      <w:sz w:val="28"/>
      <w:szCs w:val="30"/>
    </w:rPr>
  </w:style>
  <w:style w:type="character" w:customStyle="1" w:styleId="123">
    <w:name w:val="标书正文格式 字符"/>
    <w:link w:val="121"/>
    <w:qFormat/>
    <w:locked/>
    <w:uiPriority w:val="0"/>
    <w:rPr>
      <w:rFonts w:ascii="宋体" w:hAnsi="宋体"/>
      <w:color w:val="000000"/>
      <w:sz w:val="24"/>
      <w:szCs w:val="24"/>
    </w:rPr>
  </w:style>
  <w:style w:type="paragraph" w:customStyle="1" w:styleId="124">
    <w:name w:val="标书表格"/>
    <w:basedOn w:val="1"/>
    <w:link w:val="126"/>
    <w:qFormat/>
    <w:uiPriority w:val="0"/>
    <w:pPr>
      <w:jc w:val="center"/>
    </w:pPr>
    <w:rPr>
      <w:rFonts w:ascii="Times New Roman" w:hAnsi="Times New Roman" w:eastAsia="宋体" w:cs="Times New Roman"/>
      <w:b/>
      <w:szCs w:val="20"/>
    </w:rPr>
  </w:style>
  <w:style w:type="character" w:customStyle="1" w:styleId="125">
    <w:name w:val="标书二级标题 字符"/>
    <w:link w:val="122"/>
    <w:qFormat/>
    <w:locked/>
    <w:uiPriority w:val="0"/>
    <w:rPr>
      <w:rFonts w:ascii="宋体" w:hAnsi="宋体" w:eastAsia="黑体" w:cs="Times New Roman"/>
      <w:bCs/>
      <w:sz w:val="28"/>
      <w:szCs w:val="30"/>
    </w:rPr>
  </w:style>
  <w:style w:type="character" w:customStyle="1" w:styleId="126">
    <w:name w:val="标书表格 字符"/>
    <w:link w:val="124"/>
    <w:qFormat/>
    <w:locked/>
    <w:uiPriority w:val="0"/>
    <w:rPr>
      <w:rFonts w:ascii="Times New Roman" w:hAnsi="Times New Roman" w:eastAsia="宋体" w:cs="Times New Roman"/>
      <w:b/>
      <w:szCs w:val="20"/>
    </w:rPr>
  </w:style>
  <w:style w:type="paragraph" w:customStyle="1" w:styleId="127">
    <w:name w:val="标书三级标题"/>
    <w:basedOn w:val="5"/>
    <w:next w:val="121"/>
    <w:link w:val="12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8">
    <w:name w:val="标书三级标题 字符"/>
    <w:link w:val="127"/>
    <w:qFormat/>
    <w:locked/>
    <w:uiPriority w:val="0"/>
    <w:rPr>
      <w:rFonts w:ascii="Times New Roman" w:hAnsi="Times New Roman" w:eastAsia="宋体" w:cs="Times New Roman"/>
      <w:b/>
      <w:bCs/>
      <w:color w:val="000000"/>
      <w:sz w:val="24"/>
      <w:szCs w:val="24"/>
    </w:rPr>
  </w:style>
  <w:style w:type="character" w:customStyle="1" w:styleId="129">
    <w:name w:val="标三级标题 字符"/>
    <w:link w:val="130"/>
    <w:qFormat/>
    <w:locked/>
    <w:uiPriority w:val="0"/>
    <w:rPr>
      <w:b/>
      <w:color w:val="000000"/>
      <w:sz w:val="24"/>
    </w:rPr>
  </w:style>
  <w:style w:type="paragraph" w:customStyle="1" w:styleId="130">
    <w:name w:val="标三级标题"/>
    <w:basedOn w:val="127"/>
    <w:link w:val="129"/>
    <w:qFormat/>
    <w:uiPriority w:val="0"/>
    <w:rPr>
      <w:rFonts w:asciiTheme="minorHAnsi" w:hAnsiTheme="minorHAnsi" w:eastAsiaTheme="minorEastAsia" w:cstheme="minorBidi"/>
      <w:bCs w:val="0"/>
      <w:szCs w:val="22"/>
    </w:rPr>
  </w:style>
  <w:style w:type="character" w:customStyle="1" w:styleId="131">
    <w:name w:val="标正文 字符"/>
    <w:link w:val="132"/>
    <w:qFormat/>
    <w:locked/>
    <w:uiPriority w:val="0"/>
    <w:rPr>
      <w:rFonts w:ascii="宋体" w:eastAsia="宋体"/>
      <w:color w:val="000000"/>
      <w:sz w:val="24"/>
    </w:rPr>
  </w:style>
  <w:style w:type="paragraph" w:customStyle="1" w:styleId="132">
    <w:name w:val="标正文"/>
    <w:basedOn w:val="121"/>
    <w:link w:val="131"/>
    <w:qFormat/>
    <w:uiPriority w:val="0"/>
    <w:pPr>
      <w:ind w:firstLine="480"/>
    </w:pPr>
    <w:rPr>
      <w:rFonts w:eastAsia="宋体" w:hAnsiTheme="minorHAnsi"/>
      <w:szCs w:val="22"/>
    </w:rPr>
  </w:style>
  <w:style w:type="paragraph" w:customStyle="1" w:styleId="13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4">
    <w:name w:val="HR正文表格"/>
    <w:basedOn w:val="1"/>
    <w:qFormat/>
    <w:uiPriority w:val="0"/>
    <w:pPr>
      <w:spacing w:beforeLines="25" w:afterLines="25" w:line="300" w:lineRule="auto"/>
    </w:pPr>
    <w:rPr>
      <w:szCs w:val="24"/>
    </w:rPr>
  </w:style>
  <w:style w:type="paragraph" w:styleId="135">
    <w:name w:val="List Paragraph"/>
    <w:basedOn w:val="1"/>
    <w:qFormat/>
    <w:uiPriority w:val="99"/>
    <w:pPr>
      <w:ind w:firstLine="420" w:firstLineChars="200"/>
    </w:pPr>
  </w:style>
  <w:style w:type="paragraph" w:customStyle="1" w:styleId="136">
    <w:name w:val="WPSOffice手动目录 1"/>
    <w:qFormat/>
    <w:uiPriority w:val="0"/>
    <w:rPr>
      <w:rFonts w:ascii="Times New Roman" w:hAnsi="Times New Roman" w:eastAsia="宋体" w:cs="Times New Roman"/>
      <w:lang w:val="en-US" w:eastAsia="zh-CN" w:bidi="ar-SA"/>
    </w:rPr>
  </w:style>
  <w:style w:type="table" w:customStyle="1" w:styleId="137">
    <w:name w:val="Table Normal"/>
    <w:semiHidden/>
    <w:unhideWhenUsed/>
    <w:qFormat/>
    <w:uiPriority w:val="0"/>
    <w:tblPr>
      <w:tblCellMar>
        <w:top w:w="0" w:type="dxa"/>
        <w:left w:w="0" w:type="dxa"/>
        <w:bottom w:w="0" w:type="dxa"/>
        <w:right w:w="0" w:type="dxa"/>
      </w:tblCellMar>
    </w:tblPr>
  </w:style>
  <w:style w:type="character" w:customStyle="1" w:styleId="138">
    <w:name w:val="NormalCharacter"/>
    <w:qFormat/>
    <w:uiPriority w:val="0"/>
  </w:style>
  <w:style w:type="paragraph" w:customStyle="1" w:styleId="139">
    <w:name w:val="Table Paragraph"/>
    <w:basedOn w:val="1"/>
    <w:qFormat/>
    <w:uiPriority w:val="1"/>
    <w:rPr>
      <w:rFonts w:ascii="宋体" w:hAnsi="宋体" w:eastAsia="宋体" w:cs="宋体"/>
    </w:rPr>
  </w:style>
  <w:style w:type="paragraph" w:customStyle="1" w:styleId="140">
    <w:name w:val="标书一级标题"/>
    <w:basedOn w:val="3"/>
    <w:qFormat/>
    <w:uiPriority w:val="0"/>
    <w:rPr>
      <w:rFonts w:eastAsia="黑体"/>
      <w:b w:val="0"/>
      <w:color w:val="000000"/>
      <w:sz w:val="30"/>
      <w:szCs w:val="24"/>
    </w:rPr>
  </w:style>
  <w:style w:type="paragraph" w:customStyle="1" w:styleId="141">
    <w:name w:val="标题 5（有编号）（绿盟科技）"/>
    <w:basedOn w:val="1"/>
    <w:next w:val="142"/>
    <w:qFormat/>
    <w:uiPriority w:val="0"/>
    <w:pPr>
      <w:keepNext/>
      <w:keepLines/>
      <w:numPr>
        <w:ilvl w:val="4"/>
        <w:numId w:val="2"/>
      </w:numPr>
      <w:spacing w:before="280" w:after="156" w:line="377" w:lineRule="auto"/>
      <w:outlineLvl w:val="4"/>
    </w:pPr>
    <w:rPr>
      <w:rFonts w:ascii="Arial" w:hAnsi="Arial" w:eastAsia="黑体" w:cs="Times New Roman"/>
      <w:b/>
      <w:sz w:val="24"/>
      <w:szCs w:val="28"/>
    </w:rPr>
  </w:style>
  <w:style w:type="paragraph" w:customStyle="1" w:styleId="142">
    <w:name w:val="正文（绿盟科技）"/>
    <w:unhideWhenUsed/>
    <w:qFormat/>
    <w:uiPriority w:val="0"/>
    <w:pPr>
      <w:spacing w:line="300" w:lineRule="auto"/>
    </w:pPr>
    <w:rPr>
      <w:rFonts w:ascii="Arial" w:hAnsi="Arial" w:eastAsia="宋体" w:cs="Times New Roman"/>
      <w:sz w:val="21"/>
      <w:szCs w:val="21"/>
      <w:lang w:val="en-US" w:eastAsia="zh-CN" w:bidi="ar-SA"/>
    </w:rPr>
  </w:style>
  <w:style w:type="character" w:customStyle="1" w:styleId="143">
    <w:name w:val="标题 7 字符"/>
    <w:basedOn w:val="47"/>
    <w:link w:val="9"/>
    <w:qFormat/>
    <w:uiPriority w:val="9"/>
    <w:rPr>
      <w:b/>
      <w:bCs/>
      <w:kern w:val="2"/>
      <w:sz w:val="24"/>
      <w:szCs w:val="24"/>
    </w:rPr>
  </w:style>
  <w:style w:type="character" w:customStyle="1" w:styleId="144">
    <w:name w:val="标题 8 字符"/>
    <w:basedOn w:val="47"/>
    <w:link w:val="10"/>
    <w:qFormat/>
    <w:uiPriority w:val="9"/>
    <w:rPr>
      <w:rFonts w:asciiTheme="majorHAnsi" w:hAnsiTheme="majorHAnsi" w:eastAsiaTheme="majorEastAsia" w:cstheme="majorBidi"/>
      <w:kern w:val="2"/>
      <w:sz w:val="24"/>
      <w:szCs w:val="24"/>
    </w:rPr>
  </w:style>
  <w:style w:type="character" w:customStyle="1" w:styleId="145">
    <w:name w:val="标题 9 字符"/>
    <w:basedOn w:val="47"/>
    <w:link w:val="11"/>
    <w:semiHidden/>
    <w:qFormat/>
    <w:uiPriority w:val="9"/>
    <w:rPr>
      <w:rFonts w:asciiTheme="majorHAnsi" w:hAnsiTheme="majorHAnsi" w:eastAsiaTheme="majorEastAsia" w:cstheme="majorBidi"/>
      <w:kern w:val="2"/>
      <w:sz w:val="24"/>
      <w:szCs w:val="21"/>
    </w:rPr>
  </w:style>
  <w:style w:type="table" w:customStyle="1" w:styleId="146">
    <w:name w:val="网格型1"/>
    <w:basedOn w:val="4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7">
    <w:name w:val="标题 4 字符"/>
    <w:link w:val="6"/>
    <w:qFormat/>
    <w:uiPriority w:val="0"/>
    <w:rPr>
      <w:rFonts w:ascii="Arial" w:hAnsi="Arial" w:eastAsia="黑体" w:cstheme="minorBidi"/>
      <w:b/>
      <w:kern w:val="2"/>
      <w:sz w:val="28"/>
      <w:szCs w:val="22"/>
    </w:rPr>
  </w:style>
  <w:style w:type="character" w:customStyle="1" w:styleId="148">
    <w:name w:val="标题 5 字符"/>
    <w:basedOn w:val="47"/>
    <w:link w:val="7"/>
    <w:qFormat/>
    <w:uiPriority w:val="9"/>
    <w:rPr>
      <w:b/>
      <w:bCs/>
      <w:kern w:val="2"/>
      <w:sz w:val="28"/>
      <w:szCs w:val="28"/>
    </w:rPr>
  </w:style>
  <w:style w:type="character" w:customStyle="1" w:styleId="149">
    <w:name w:val="标题 6 字符"/>
    <w:basedOn w:val="47"/>
    <w:link w:val="8"/>
    <w:qFormat/>
    <w:uiPriority w:val="9"/>
    <w:rPr>
      <w:rFonts w:ascii="Arial" w:hAnsi="Arial" w:eastAsia="黑体" w:cstheme="minorBidi"/>
      <w:b/>
      <w:kern w:val="2"/>
      <w:sz w:val="24"/>
      <w:szCs w:val="22"/>
    </w:rPr>
  </w:style>
  <w:style w:type="paragraph" w:customStyle="1" w:styleId="150">
    <w:name w:val="样式1)"/>
    <w:basedOn w:val="1"/>
    <w:link w:val="151"/>
    <w:qFormat/>
    <w:uiPriority w:val="0"/>
    <w:pPr>
      <w:widowControl/>
      <w:spacing w:line="360" w:lineRule="auto"/>
      <w:ind w:firstLine="420"/>
      <w:jc w:val="left"/>
    </w:pPr>
    <w:rPr>
      <w:rFonts w:ascii="宋体" w:hAnsi="宋体" w:eastAsia="宋体" w:cs="宋体"/>
      <w:sz w:val="24"/>
      <w:szCs w:val="24"/>
    </w:rPr>
  </w:style>
  <w:style w:type="character" w:customStyle="1" w:styleId="151">
    <w:name w:val="样式1) 字符"/>
    <w:basedOn w:val="47"/>
    <w:link w:val="150"/>
    <w:qFormat/>
    <w:uiPriority w:val="0"/>
    <w:rPr>
      <w:rFonts w:ascii="宋体" w:hAnsi="宋体" w:cs="宋体"/>
      <w:kern w:val="2"/>
      <w:sz w:val="24"/>
      <w:szCs w:val="24"/>
    </w:rPr>
  </w:style>
  <w:style w:type="paragraph" w:customStyle="1" w:styleId="152">
    <w:name w:val="列表a)"/>
    <w:basedOn w:val="1"/>
    <w:next w:val="1"/>
    <w:link w:val="154"/>
    <w:qFormat/>
    <w:uiPriority w:val="0"/>
    <w:pPr>
      <w:widowControl/>
      <w:numPr>
        <w:ilvl w:val="0"/>
        <w:numId w:val="3"/>
      </w:numPr>
      <w:spacing w:line="360" w:lineRule="auto"/>
      <w:ind w:left="1134" w:firstLine="100" w:firstLineChars="100"/>
      <w:jc w:val="left"/>
    </w:pPr>
    <w:rPr>
      <w:rFonts w:ascii="宋体" w:hAnsi="宋体" w:eastAsia="宋体" w:cs="宋体"/>
      <w:sz w:val="24"/>
      <w:szCs w:val="24"/>
    </w:rPr>
  </w:style>
  <w:style w:type="paragraph" w:customStyle="1" w:styleId="153">
    <w:name w:val="样式1"/>
    <w:basedOn w:val="1"/>
    <w:next w:val="1"/>
    <w:link w:val="156"/>
    <w:qFormat/>
    <w:uiPriority w:val="0"/>
    <w:pPr>
      <w:widowControl/>
      <w:spacing w:line="360" w:lineRule="auto"/>
      <w:jc w:val="left"/>
    </w:pPr>
    <w:rPr>
      <w:rFonts w:ascii="宋体" w:hAnsi="宋体" w:eastAsia="宋体" w:cs="宋体"/>
      <w:sz w:val="24"/>
      <w:szCs w:val="24"/>
    </w:rPr>
  </w:style>
  <w:style w:type="character" w:customStyle="1" w:styleId="154">
    <w:name w:val="列表a) 字符"/>
    <w:basedOn w:val="47"/>
    <w:link w:val="152"/>
    <w:qFormat/>
    <w:uiPriority w:val="0"/>
    <w:rPr>
      <w:rFonts w:ascii="宋体" w:hAnsi="宋体" w:cs="宋体"/>
      <w:kern w:val="2"/>
      <w:sz w:val="24"/>
      <w:szCs w:val="24"/>
    </w:rPr>
  </w:style>
  <w:style w:type="paragraph" w:customStyle="1" w:styleId="155">
    <w:name w:val="列表段落1"/>
    <w:basedOn w:val="34"/>
    <w:next w:val="34"/>
    <w:link w:val="159"/>
    <w:qFormat/>
    <w:uiPriority w:val="0"/>
    <w:pPr>
      <w:widowControl/>
      <w:numPr>
        <w:ilvl w:val="0"/>
        <w:numId w:val="4"/>
      </w:numPr>
      <w:spacing w:line="360" w:lineRule="auto"/>
      <w:ind w:left="902" w:firstLine="0"/>
      <w:contextualSpacing/>
      <w:jc w:val="left"/>
    </w:pPr>
    <w:rPr>
      <w:rFonts w:ascii="宋体" w:hAnsi="宋体" w:cs="宋体"/>
      <w:szCs w:val="24"/>
    </w:rPr>
  </w:style>
  <w:style w:type="character" w:customStyle="1" w:styleId="156">
    <w:name w:val="样式1 字符"/>
    <w:basedOn w:val="47"/>
    <w:link w:val="153"/>
    <w:qFormat/>
    <w:uiPriority w:val="0"/>
    <w:rPr>
      <w:rFonts w:ascii="宋体" w:hAnsi="宋体" w:cs="宋体"/>
      <w:kern w:val="2"/>
      <w:sz w:val="24"/>
      <w:szCs w:val="24"/>
    </w:rPr>
  </w:style>
  <w:style w:type="paragraph" w:customStyle="1" w:styleId="157">
    <w:name w:val="表格"/>
    <w:basedOn w:val="1"/>
    <w:link w:val="160"/>
    <w:qFormat/>
    <w:uiPriority w:val="0"/>
    <w:pPr>
      <w:widowControl/>
      <w:spacing w:line="360" w:lineRule="auto"/>
      <w:jc w:val="left"/>
    </w:pPr>
    <w:rPr>
      <w:rFonts w:ascii="宋体" w:hAnsi="宋体" w:eastAsia="宋体" w:cs="宋体"/>
      <w:color w:val="000000"/>
      <w:kern w:val="0"/>
      <w:sz w:val="24"/>
      <w:szCs w:val="21"/>
    </w:rPr>
  </w:style>
  <w:style w:type="character" w:customStyle="1" w:styleId="158">
    <w:name w:val="列表 字符"/>
    <w:basedOn w:val="47"/>
    <w:link w:val="34"/>
    <w:qFormat/>
    <w:uiPriority w:val="0"/>
    <w:rPr>
      <w:kern w:val="2"/>
      <w:sz w:val="21"/>
    </w:rPr>
  </w:style>
  <w:style w:type="character" w:customStyle="1" w:styleId="159">
    <w:name w:val="列表段落1 字符"/>
    <w:basedOn w:val="158"/>
    <w:link w:val="155"/>
    <w:qFormat/>
    <w:uiPriority w:val="0"/>
    <w:rPr>
      <w:rFonts w:ascii="宋体" w:hAnsi="宋体" w:cs="宋体"/>
      <w:kern w:val="2"/>
      <w:sz w:val="21"/>
      <w:szCs w:val="24"/>
    </w:rPr>
  </w:style>
  <w:style w:type="character" w:customStyle="1" w:styleId="160">
    <w:name w:val="表格 字符"/>
    <w:basedOn w:val="47"/>
    <w:link w:val="157"/>
    <w:qFormat/>
    <w:uiPriority w:val="0"/>
    <w:rPr>
      <w:rFonts w:ascii="宋体" w:hAnsi="宋体" w:cs="宋体"/>
      <w:color w:val="000000"/>
      <w:sz w:val="24"/>
      <w:szCs w:val="21"/>
    </w:rPr>
  </w:style>
  <w:style w:type="paragraph" w:customStyle="1" w:styleId="161">
    <w:name w:val="列表2"/>
    <w:basedOn w:val="1"/>
    <w:next w:val="1"/>
    <w:link w:val="162"/>
    <w:qFormat/>
    <w:uiPriority w:val="0"/>
    <w:pPr>
      <w:widowControl/>
      <w:numPr>
        <w:ilvl w:val="0"/>
        <w:numId w:val="5"/>
      </w:numPr>
      <w:spacing w:line="360" w:lineRule="auto"/>
      <w:ind w:firstLine="0"/>
      <w:jc w:val="left"/>
    </w:pPr>
    <w:rPr>
      <w:rFonts w:ascii="宋体" w:hAnsi="宋体" w:eastAsia="宋体" w:cs="宋体"/>
      <w:sz w:val="24"/>
      <w:szCs w:val="24"/>
    </w:rPr>
  </w:style>
  <w:style w:type="character" w:customStyle="1" w:styleId="162">
    <w:name w:val="列表2 字符"/>
    <w:basedOn w:val="159"/>
    <w:link w:val="161"/>
    <w:qFormat/>
    <w:uiPriority w:val="0"/>
    <w:rPr>
      <w:rFonts w:ascii="宋体" w:hAnsi="宋体" w:cs="宋体"/>
      <w:kern w:val="2"/>
      <w:sz w:val="24"/>
      <w:szCs w:val="24"/>
    </w:rPr>
  </w:style>
  <w:style w:type="paragraph" w:customStyle="1" w:styleId="163">
    <w:name w:val="列表(一)"/>
    <w:basedOn w:val="1"/>
    <w:next w:val="1"/>
    <w:link w:val="164"/>
    <w:qFormat/>
    <w:uiPriority w:val="0"/>
    <w:pPr>
      <w:widowControl/>
      <w:numPr>
        <w:ilvl w:val="0"/>
        <w:numId w:val="6"/>
      </w:numPr>
      <w:spacing w:line="360" w:lineRule="auto"/>
      <w:ind w:left="0" w:firstLine="0"/>
      <w:jc w:val="left"/>
    </w:pPr>
    <w:rPr>
      <w:rFonts w:ascii="Times New Roman" w:hAnsi="Times New Roman" w:eastAsia="宋体" w:cs="Times New Roman"/>
      <w:sz w:val="24"/>
      <w:szCs w:val="20"/>
    </w:rPr>
  </w:style>
  <w:style w:type="character" w:customStyle="1" w:styleId="164">
    <w:name w:val="列表(一) 字符"/>
    <w:basedOn w:val="47"/>
    <w:link w:val="163"/>
    <w:qFormat/>
    <w:uiPriority w:val="0"/>
    <w:rPr>
      <w:kern w:val="2"/>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8" Type="http://schemas.openxmlformats.org/officeDocument/2006/relationships/fontTable" Target="fontTable.xml"/><Relationship Id="rId67" Type="http://schemas.openxmlformats.org/officeDocument/2006/relationships/customXml" Target="../customXml/item2.xml"/><Relationship Id="rId66" Type="http://schemas.openxmlformats.org/officeDocument/2006/relationships/numbering" Target="numbering.xml"/><Relationship Id="rId65" Type="http://schemas.openxmlformats.org/officeDocument/2006/relationships/customXml" Target="../customXml/item1.xml"/><Relationship Id="rId64" Type="http://schemas.openxmlformats.org/officeDocument/2006/relationships/image" Target="media/image19.png"/><Relationship Id="rId63" Type="http://schemas.openxmlformats.org/officeDocument/2006/relationships/image" Target="media/image18.png"/><Relationship Id="rId62" Type="http://schemas.openxmlformats.org/officeDocument/2006/relationships/image" Target="media/image17.png"/><Relationship Id="rId61" Type="http://schemas.openxmlformats.org/officeDocument/2006/relationships/image" Target="media/image16.png"/><Relationship Id="rId60" Type="http://schemas.openxmlformats.org/officeDocument/2006/relationships/image" Target="media/image15.png"/><Relationship Id="rId6" Type="http://schemas.openxmlformats.org/officeDocument/2006/relationships/footer" Target="footer3.xml"/><Relationship Id="rId59" Type="http://schemas.openxmlformats.org/officeDocument/2006/relationships/image" Target="media/image14.png"/><Relationship Id="rId58" Type="http://schemas.openxmlformats.org/officeDocument/2006/relationships/image" Target="media/image13.png"/><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jpeg"/><Relationship Id="rId51" Type="http://schemas.openxmlformats.org/officeDocument/2006/relationships/image" Target="media/image6.jpeg"/><Relationship Id="rId50" Type="http://schemas.openxmlformats.org/officeDocument/2006/relationships/image" Target="media/image5.jpeg"/><Relationship Id="rId5" Type="http://schemas.openxmlformats.org/officeDocument/2006/relationships/header" Target="header1.xml"/><Relationship Id="rId49" Type="http://schemas.openxmlformats.org/officeDocument/2006/relationships/image" Target="media/image4.jpeg"/><Relationship Id="rId48" Type="http://schemas.openxmlformats.org/officeDocument/2006/relationships/image" Target="media/image3.png"/><Relationship Id="rId47" Type="http://schemas.openxmlformats.org/officeDocument/2006/relationships/image" Target="media/image2.png"/><Relationship Id="rId46" Type="http://schemas.openxmlformats.org/officeDocument/2006/relationships/image" Target="media/image1.png"/><Relationship Id="rId45" Type="http://schemas.openxmlformats.org/officeDocument/2006/relationships/theme" Target="theme/theme1.xml"/><Relationship Id="rId44" Type="http://schemas.openxmlformats.org/officeDocument/2006/relationships/footer" Target="footer33.xml"/><Relationship Id="rId43" Type="http://schemas.openxmlformats.org/officeDocument/2006/relationships/footer" Target="footer32.xml"/><Relationship Id="rId42" Type="http://schemas.openxmlformats.org/officeDocument/2006/relationships/header" Target="header9.xml"/><Relationship Id="rId41" Type="http://schemas.openxmlformats.org/officeDocument/2006/relationships/header" Target="header8.xml"/><Relationship Id="rId40" Type="http://schemas.openxmlformats.org/officeDocument/2006/relationships/footer" Target="footer31.xml"/><Relationship Id="rId4" Type="http://schemas.openxmlformats.org/officeDocument/2006/relationships/footer" Target="footer2.xml"/><Relationship Id="rId39" Type="http://schemas.openxmlformats.org/officeDocument/2006/relationships/footer" Target="footer30.xml"/><Relationship Id="rId38" Type="http://schemas.openxmlformats.org/officeDocument/2006/relationships/header" Target="header7.xml"/><Relationship Id="rId37" Type="http://schemas.openxmlformats.org/officeDocument/2006/relationships/header" Target="header6.xml"/><Relationship Id="rId36" Type="http://schemas.openxmlformats.org/officeDocument/2006/relationships/footer" Target="footer29.xml"/><Relationship Id="rId35" Type="http://schemas.openxmlformats.org/officeDocument/2006/relationships/footer" Target="footer28.xml"/><Relationship Id="rId34" Type="http://schemas.openxmlformats.org/officeDocument/2006/relationships/footer" Target="footer27.xml"/><Relationship Id="rId33" Type="http://schemas.openxmlformats.org/officeDocument/2006/relationships/footer" Target="footer26.xml"/><Relationship Id="rId32" Type="http://schemas.openxmlformats.org/officeDocument/2006/relationships/footer" Target="footer25.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footer" Target="footer10.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Info spid="_x0000_s3115"/>
    <customShpInfo spid="_x0000_s3116"/>
    <customShpInfo spid="_x0000_s3117"/>
    <customShpInfo spid="_x0000_s3118"/>
    <customShpInfo spid="_x0000_s3119"/>
    <customShpInfo spid="_x0000_s3120"/>
    <customShpInfo spid="_x0000_s3121"/>
    <customShpInfo spid="_x0000_s3122"/>
    <customShpInfo spid="_x0000_s3123"/>
    <customShpInfo spid="_x0000_s3124"/>
    <customShpInfo spid="_x0000_s3125"/>
    <customShpInfo spid="_x0000_s3126"/>
    <customShpInfo spid="_x0000_s3127"/>
    <customShpInfo spid="_x0000_s3128"/>
    <customShpInfo spid="_x0000_s3101"/>
    <customShpInfo spid="_x0000_s3102"/>
    <customShpInfo spid="_x0000_s3103"/>
    <customShpInfo spid="_x0000_s3104"/>
    <customShpInfo spid="_x0000_s3105"/>
    <customShpInfo spid="_x0000_s3106"/>
    <customShpInfo spid="_x0000_s3107"/>
    <customShpInfo spid="_x0000_s3108"/>
    <customShpInfo spid="_x0000_s3109"/>
    <customShpInfo spid="_x0000_s3110"/>
    <customShpInfo spid="_x0000_s3111"/>
    <customShpInfo spid="_x0000_s3112"/>
    <customShpInfo spid="_x0000_s3113"/>
    <customShpInfo spid="_x0000_s3114"/>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4A01FF-F0F1-4F13-AE76-3BA34850B1DD}">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108</Pages>
  <Words>10735</Words>
  <Characters>11466</Characters>
  <Lines>430</Lines>
  <Paragraphs>121</Paragraphs>
  <TotalTime>106</TotalTime>
  <ScaleCrop>false</ScaleCrop>
  <LinksUpToDate>false</LinksUpToDate>
  <CharactersWithSpaces>11585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Administrator</cp:lastModifiedBy>
  <cp:lastPrinted>2022-07-01T03:19:00Z</cp:lastPrinted>
  <dcterms:modified xsi:type="dcterms:W3CDTF">2025-09-25T08:02:52Z</dcterms:modified>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ED02EB12B8294FE5807EAA5D2C3C24E0</vt:lpwstr>
  </property>
  <property fmtid="{D5CDD505-2E9C-101B-9397-08002B2CF9AE}" pid="4" name="KSOTemplateDocerSaveRecord">
    <vt:lpwstr>eyJoZGlkIjoiNzllZmYyNjlkZjZhMjI1YjA0NzY1ZDk2MDA2ZmM4MjEiLCJ1c2VySWQiOiIyNzg3MTEwODIifQ==</vt:lpwstr>
  </property>
</Properties>
</file>